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229CA" w:rsidRPr="008229CA" w:rsidTr="008229C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ОХОРОНИ ЗДОРОВ’Я УКРАЇНИ</w:t>
            </w:r>
          </w:p>
        </w:tc>
      </w:tr>
      <w:tr w:rsidR="008229CA" w:rsidRPr="008229CA" w:rsidTr="008229C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8229CA" w:rsidRPr="008229CA" w:rsidTr="008229C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ind w:left="376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18.05.2018  № 947</w:t>
            </w:r>
          </w:p>
        </w:tc>
      </w:tr>
      <w:tr w:rsidR="008229CA" w:rsidRPr="008229CA" w:rsidTr="008229C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04 червня 2018 р.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659/32111</w:t>
            </w:r>
          </w:p>
        </w:tc>
      </w:tr>
    </w:tbl>
    <w:p w:rsidR="008229CA" w:rsidRPr="008229CA" w:rsidRDefault="008229CA" w:rsidP="008229CA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4"/>
      <w:bookmarkEnd w:id="1"/>
      <w:r w:rsidRPr="008229CA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внесення змін до Календаря профілактичних щеплень в Україні</w:t>
      </w:r>
    </w:p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5"/>
      <w:bookmarkEnd w:id="2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 до статей 1, 12 </w:t>
      </w:r>
      <w:hyperlink r:id="rId4" w:tgtFrame="_blank" w:history="1">
        <w:r w:rsidRPr="00822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«Про захист населення від інфекційних хвороб», </w:t>
      </w:r>
      <w:hyperlink r:id="rId5" w:anchor="n271" w:tgtFrame="_blank" w:history="1">
        <w:r w:rsidRPr="00822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8</w:t>
        </w:r>
      </w:hyperlink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Положення про Міністерство охорони здоров’я України, затвердженого постановою Кабінету Міністрів України від 25 березня 2015 року № 267, з метою забезпечення епідемічного благополуччя населення України та попередження інфекцій, керованих засобами специфічної профілактики, 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НАКАЗУЮ:</w:t>
      </w:r>
    </w:p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6"/>
      <w:bookmarkEnd w:id="3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 Внести зміни до </w:t>
      </w:r>
      <w:hyperlink r:id="rId6" w:anchor="n24" w:tgtFrame="_blank" w:history="1">
        <w:r w:rsidRPr="00822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Календаря профілактичних щеплень в Україні</w:t>
        </w:r>
      </w:hyperlink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затвердженого наказом Міністерства охорони здоров’я України від 16 вересня 2011 року № 595 (у редакції наказу Міністерства охорони здоров’я України від 11 серпня 2014 року № 551), зареєстрованого в Міністерстві юстиції України 13 жовтня 2014 року за № 1237/26014, що додаються.</w:t>
      </w:r>
    </w:p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7"/>
      <w:bookmarkEnd w:id="4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 Управлінню громадського здоров’я (Руденко І.С.) забезпечити подання цього наказу в установленому порядку на державну реєстрацію до Міністерства юстиції України.</w:t>
      </w:r>
    </w:p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8"/>
      <w:bookmarkEnd w:id="5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3. Контроль за виконанням цього наказу покласти на заступника Міністра з питань європейської інтеграції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Стефанишину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О.А.</w:t>
      </w:r>
    </w:p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9"/>
      <w:bookmarkEnd w:id="6"/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8229CA" w:rsidRPr="008229CA" w:rsidTr="008229C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proofErr w:type="spellStart"/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В.о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У. Супрун</w:t>
            </w:r>
          </w:p>
        </w:tc>
      </w:tr>
      <w:tr w:rsidR="008229CA" w:rsidRPr="008229CA" w:rsidTr="008229CA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9"/>
            <w:bookmarkStart w:id="9" w:name="n11"/>
            <w:bookmarkEnd w:id="8"/>
            <w:bookmarkEnd w:id="9"/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 охорони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здоров’я України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травня 2018 року № 947</w:t>
            </w:r>
          </w:p>
        </w:tc>
      </w:tr>
    </w:tbl>
    <w:p w:rsidR="008229CA" w:rsidRPr="008229CA" w:rsidRDefault="008229CA" w:rsidP="008229C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uk-UA"/>
        </w:rPr>
      </w:pPr>
      <w:bookmarkStart w:id="10" w:name="n12"/>
      <w:bookmarkEnd w:id="1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8229CA" w:rsidRPr="008229CA" w:rsidTr="008229C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04 червня 2018 р.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659/32111</w:t>
            </w:r>
          </w:p>
        </w:tc>
      </w:tr>
    </w:tbl>
    <w:p w:rsidR="008229CA" w:rsidRDefault="008229CA" w:rsidP="008229CA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1" w:name="n13"/>
      <w:bookmarkEnd w:id="11"/>
    </w:p>
    <w:p w:rsidR="008229CA" w:rsidRDefault="008229CA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br w:type="page"/>
      </w:r>
    </w:p>
    <w:p w:rsidR="008229CA" w:rsidRPr="008229CA" w:rsidRDefault="008229CA" w:rsidP="008229CA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</w:pPr>
      <w:r w:rsidRPr="008229C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ЗМІНИ </w:t>
      </w:r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 </w:t>
      </w:r>
      <w:hyperlink r:id="rId7" w:anchor="n24" w:tgtFrame="_blank" w:history="1">
        <w:r w:rsidRPr="008229C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uk-UA"/>
          </w:rPr>
          <w:t>Календаря профілактичних щеплень в Україні</w:t>
        </w:r>
      </w:hyperlink>
    </w:p>
    <w:bookmarkStart w:id="12" w:name="n14"/>
    <w:bookmarkEnd w:id="12"/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</w:pPr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fldChar w:fldCharType="begin"/>
      </w:r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instrText xml:space="preserve"> HYPERLINK "http://zakon.rada.gov.ua/laws/show/z1159-11" \l "n46" \t "_blank" </w:instrText>
      </w:r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fldChar w:fldCharType="separate"/>
      </w:r>
      <w:r w:rsidRPr="008229CA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uk-UA"/>
        </w:rPr>
        <w:t>Главу 1</w:t>
      </w:r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fldChar w:fldCharType="end"/>
      </w:r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t> розділу ІІ викласти у такій редакції:</w:t>
      </w:r>
    </w:p>
    <w:p w:rsidR="008229CA" w:rsidRPr="008229CA" w:rsidRDefault="008229CA" w:rsidP="008229CA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</w:pPr>
      <w:bookmarkStart w:id="13" w:name="n15"/>
      <w:bookmarkEnd w:id="13"/>
      <w:r w:rsidRPr="008229CA">
        <w:rPr>
          <w:rFonts w:ascii="Times New Roman" w:eastAsia="Times New Roman" w:hAnsi="Times New Roman" w:cs="Times New Roman"/>
          <w:color w:val="000000"/>
          <w:sz w:val="16"/>
          <w:szCs w:val="20"/>
          <w:lang w:eastAsia="uk-UA"/>
        </w:rPr>
        <w:t>«1. Щеплення за віком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1489"/>
        <w:gridCol w:w="1282"/>
        <w:gridCol w:w="1489"/>
        <w:gridCol w:w="1432"/>
        <w:gridCol w:w="1432"/>
        <w:gridCol w:w="1263"/>
      </w:tblGrid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bookmarkStart w:id="14" w:name="n16"/>
            <w:bookmarkEnd w:id="14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Вік</w:t>
            </w:r>
          </w:p>
        </w:tc>
        <w:tc>
          <w:tcPr>
            <w:tcW w:w="6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Щеплення проти</w:t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1 день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Гепатиту В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3-5 днів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Туберкульозу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2 місяці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Гепатиту В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Дифтерії, </w:t>
            </w: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кашлюка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Поліомієліту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Гемофільної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 інфекції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4 місяці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Дифтерії, </w:t>
            </w: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кашлюка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Поліомієліту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Гемофільної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 інфекції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6 місяців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Гепатиту В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Дифтерії, </w:t>
            </w: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кашлюка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Поліомієліту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12 місяців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Гемофільної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 інфекції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Кору, краснухи, паротиту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-6</w:t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18 місяців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 xml:space="preserve">Дифтерії, </w:t>
            </w:r>
            <w:proofErr w:type="spellStart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кашлюка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Поліомієліту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6 років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Дифтерії,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Поліомієліту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Кору, краснухи, паротиту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-6</w:t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14 років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Поліомієліту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16 років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Дифтерії,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  <w:tr w:rsidR="008229CA" w:rsidRPr="008229CA" w:rsidTr="008229CA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26 років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Дифтерії, правця</w:t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uk-UA"/>
              </w:rPr>
              <w:t>-3</w:t>
            </w: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 (надалі - кожні 10 років)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125" w:after="1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br/>
            </w:r>
          </w:p>
        </w:tc>
      </w:tr>
    </w:tbl>
    <w:p w:rsidR="008229CA" w:rsidRPr="008229CA" w:rsidRDefault="008229CA" w:rsidP="008229CA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5" w:name="n17"/>
      <w:bookmarkEnd w:id="15"/>
      <w:r w:rsidRPr="008229CA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uk-UA"/>
        </w:rPr>
        <w:t>-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1</w:t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Щепленню для профілактики туберкульозу підлягають усі новонароджені діти, що не мають до цього протипоказань. Вакцинація проводиться на третю - п’яту добу життя дитини (не раніше сорок восьмої години після народження) вакциною для профілактики туберкульозу (далі - БЦЖ). Недоношених дітей щеплять після досягнення дитиною маси тіла ?2500 г.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Щеплення для профілактики туберкульозу не проводять в один день з іншими щепленнями. Діти, які не були щеплені в пологовому стаціонарі, підлягають обов’язковій вакцинації в закладах охорони здоров’я.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Дітям, яким не виповнилося два місяці, щеплення проти туберкульозу проводяться без попередньої проби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Манту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. Після двомісячного віку перед виконанням щеплення дитині слід провести пробу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Манту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. Щеплення проводиться при негативному результаті проби.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Діти, щеплені БЦЖ, у яких не сформувався рубчик, проте є достовірне підтвердження проведення щеплення, не підлягають повторній вакцинації.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uk-UA"/>
        </w:rPr>
        <w:t>-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2</w:t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Вакцинації для профілактики гепатиту В підлягають усі новонароджені. Для вакцинації дітей використовується вакцина за схемою: 0 (перша доба) - 2-6 місяців життя дитини.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Якщо мати новонародженого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HBsAg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«–» (негативна), що документально підтверджено, вакцинацію дитини можна розпочати протягом перших місяців життя або одночасно зі щепленням проти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кашлюка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, дифтерії, правця, поліомієліту. У разі поєднання імунізації зі щепленням проти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кашлюка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, дифтерії, правця, поліомієліту рекомендуються схеми: 2-4-6-18 місяців життя або 2-4-9 місяців життя.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Новонародженим з масою тіла &lt;2000 г, що народилися від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HBsAg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«-» (негативних) матерів, вакцинація проводиться, коли дитина набере ваги 2000 г або досягне віку 1 місяць.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Якщо новонароджена дитина у тяжкому стані, її імунізацію слід проводити після покращення стану перед випискою дитини з лікарні.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lastRenderedPageBreak/>
        <w:t xml:space="preserve">Якщо мати новонародженого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HBsAg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«+» (позитивна), дитині роблять щеплення за схемою: 0 (перша доба) - 2-6 місяців життя дитини. Перша доза вакцини вводиться в перші 12 годин життя дитини незалежно від маси тіла. Разом з вакцинацією, але не пізніше першого тижня життя, в іншу ділянку тіла рекомендовано вводити специфічний імуноглобулін проти гепатиту В з розрахунку 40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МО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/кг маси тіла та не менше 100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МО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. Якщо маса новонародженої дитини &lt;2000 г, вакцинація проводиться обов’язково, але введена доза вакцини не зараховується як доза первинної імунізації; після досягнення дитиною віку 1 місяця вакцинація має бути проведена серією із трьох введень вакцин 0-1-6 (0 - дата першого введення вакцини, мінімальний інтервал між першим та другим щепленнями - 1 місяць, між другим і третім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щеп-леннями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- 5 місяців).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Якщо в матері новонародженої дитини невизначений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HBsAg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статус, щеплення дитини проводиться обов’язково в перші 12 годин життя з одночасним дослідженням статусу матері за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HBsAg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. У разі отримання позитивного результату в матері профілактика гепатиту В проводиться як у випадку щеплення дитини, народженої від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HBsAg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«+» (позитивної) матері.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Не слід повторно розпочинати серію вакцинації, якщо було пропущено дозу вакцини, незалежно від того, скільки часу минуло. Необхідно ввести дози вакцини, яких не вистачає, за графіком з дотриманням мінімальних інтервалів (абзац третій глави 2 цього розділу).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uk-UA"/>
        </w:rPr>
        <w:t>-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3</w:t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 Щеплення для профілактики дифтерії, правця та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кашлюка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проводяться за віком: у 2 місяці (перше щеплення), у 4 місяці (друге щеплення), у 6 місяців (третє щеплення) та у 18 місяців (четверте щеплення).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Для вакцинації дітей проти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кашлюка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на першому році життя можуть використовуватися вакцини як з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ацелюлярним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(далі -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АаКДП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), так і з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цільноклітинним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(далі - АКДП) кашлюковим компонентом.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Перенесений кашлюк в анамнезі не є протипоказанням до вакцинації проти цієї хвороби.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Щеплення проти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кашлюка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проводиться дітям до 6 років 11 місяців 29 днів.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Ревакцинацію проти дифтерії та правця у 6 років проводять анатоксином дифтерійно-правцевим (далі -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АДП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), наступну у 16 років - анатоксином дифтерійно-правцевим зі зменшеним вмістом антигену (далі - АДП-М).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Першу планову ревакцинацію дорослих за віком та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епідпоказаннями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, які раніше були щеплені, проводять АДП-М у віці 26 років з подальшою плановою ревакцинацією АДП-М з мінімальним інтервалом 10 років від попереднього щеплення АДП-М.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Особливості вакцинації дітей проти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кашлюка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, дифтерії та правця, що не отримали щеплення за віком, наведено в главі 2 цього розділу.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Екстрена профілактика правця не впливає на проведення планової імунізації.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uk-UA"/>
        </w:rPr>
        <w:t>-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4</w:t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Вакцинація дітей для профілактики поліомієліту проводиться за віком 2 місяці, 4 місяці, 6 місяців, 18 місяців, 6 років та 14 років.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Інактивована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вакцина для профілактики поліомієліту (далі - ІПВ) застосовується для перших двох щеплень, а у разі протипоказань до введення оральної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поліомієлітної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вакцини (далі - ОПВ) - для всіх наступних щеплень за цим Календарем.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Вакцина ОПВ застосовується для третього - шостого щеплень (щеплення за віком - 6 місяців, 18 місяців, 6 років та 14 років) за відсутності протипоказань до ОПВ.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Вакцина ІПВ може бути застосована для третього - шостого щеплень як окремо, так і в складі комбінованих вакцин.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Дітям, які перебувають у сімейному оточенні, дитячих закладах закритого типу з ВІЛ-інфікованими або з особами, яким протипоказано введення ОПВ, щеплення проводиться виключно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ІПВ-вакциною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Особливості вакцинації дітей проти поліомієліту, що не отримали щеплення за віком, наведено в главі 2 цього розділу.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uk-UA"/>
        </w:rPr>
        <w:t>-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5</w:t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 Вакцинація дітей для профілактики інфекції, спричиненої паличкою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Haemophilus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influenzae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типу b (далі - Hib-інфекція), може проводитись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моновакцинами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та комбінованими вакцинами, що містять Hib-компонент. Щеплення для профілактики Hib-інфекції слід проводити за схемою 2-4-12 місяців.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Вакцинація проводиться дітям до 4 років 11 місяців 29 днів. У старшому віці вакцинація проти Hib-інфекції проводиться лише особам з групи ризику відповідно до глави 4 цього розділу.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Особливості вакцинації для профілактики Hib-інфекції у дітей, що не отримали щеплення за віком, наведено в главі 2 цього розділу.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uk-UA"/>
        </w:rPr>
        <w:t>-</w:t>
      </w:r>
      <w:r w:rsidRPr="008229C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6</w:t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 Вакцинація дітей для профілактики кору, епідемічного паротиту та краснухи проводиться у віці 12 місяців. Друге </w:t>
      </w:r>
      <w:proofErr w:type="spellStart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щеп-лення</w:t>
      </w:r>
      <w:proofErr w:type="spellEnd"/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- у віці 6 років.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Перенесене захворювання на кір, епідемічний паротит чи краснуху не є протипоказанням до щеплення.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8229C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8229C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Особливості вакцинації дітей проти зазначених інфекцій з порушенням цього Календаря наведено в главі 2 цього розділу. Особливості вакцинації осіб, старших 18 років, що не отримали щеплення за віком, наведено в розділах ІІІ та IV цього Календаря.».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8229CA" w:rsidRPr="008229CA" w:rsidTr="008229C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bookmarkStart w:id="16" w:name="n18"/>
            <w:bookmarkEnd w:id="16"/>
            <w:proofErr w:type="spellStart"/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В.о</w:t>
            </w:r>
            <w:proofErr w:type="spellEnd"/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. начальника Управління</w:t>
            </w:r>
            <w:r w:rsidRPr="008229CA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  <w:r w:rsidRPr="008229CA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громадського здоров’я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229CA" w:rsidRPr="008229CA" w:rsidRDefault="008229CA" w:rsidP="008229CA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8229CA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r w:rsidRPr="0082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uk-UA"/>
              </w:rPr>
              <w:t>І. Руденко</w:t>
            </w:r>
          </w:p>
        </w:tc>
      </w:tr>
    </w:tbl>
    <w:p w:rsidR="006A70B0" w:rsidRDefault="006A70B0"/>
    <w:sectPr w:rsidR="006A70B0" w:rsidSect="006A7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29CA"/>
    <w:rsid w:val="0040516A"/>
    <w:rsid w:val="006A70B0"/>
    <w:rsid w:val="008229CA"/>
    <w:rsid w:val="009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229CA"/>
  </w:style>
  <w:style w:type="paragraph" w:customStyle="1" w:styleId="rvps4">
    <w:name w:val="rvps4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29CA"/>
  </w:style>
  <w:style w:type="paragraph" w:customStyle="1" w:styleId="rvps7">
    <w:name w:val="rvps7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29CA"/>
  </w:style>
  <w:style w:type="paragraph" w:customStyle="1" w:styleId="rvps14">
    <w:name w:val="rvps14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229CA"/>
    <w:rPr>
      <w:color w:val="0000FF"/>
      <w:u w:val="single"/>
    </w:rPr>
  </w:style>
  <w:style w:type="character" w:customStyle="1" w:styleId="rvts52">
    <w:name w:val="rvts52"/>
    <w:basedOn w:val="a0"/>
    <w:rsid w:val="008229CA"/>
  </w:style>
  <w:style w:type="character" w:customStyle="1" w:styleId="rvts44">
    <w:name w:val="rvts44"/>
    <w:basedOn w:val="a0"/>
    <w:rsid w:val="008229CA"/>
  </w:style>
  <w:style w:type="paragraph" w:customStyle="1" w:styleId="rvps15">
    <w:name w:val="rvps15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2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229CA"/>
  </w:style>
  <w:style w:type="character" w:customStyle="1" w:styleId="rvts37">
    <w:name w:val="rvts37"/>
    <w:basedOn w:val="a0"/>
    <w:rsid w:val="0082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4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27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07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z1159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159-11" TargetMode="External"/><Relationship Id="rId5" Type="http://schemas.openxmlformats.org/officeDocument/2006/relationships/hyperlink" Target="http://zakon.rada.gov.ua/laws/show/267-2015-%D0%BF" TargetMode="External"/><Relationship Id="rId4" Type="http://schemas.openxmlformats.org/officeDocument/2006/relationships/hyperlink" Target="http://zakon.rada.gov.ua/laws/show/1645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5848</Words>
  <Characters>3334</Characters>
  <Application>Microsoft Office Word</Application>
  <DocSecurity>0</DocSecurity>
  <Lines>27</Lines>
  <Paragraphs>18</Paragraphs>
  <ScaleCrop>false</ScaleCrop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2018-09-01T10:00:00Z</dcterms:created>
  <dcterms:modified xsi:type="dcterms:W3CDTF">2018-09-01T10:01:00Z</dcterms:modified>
</cp:coreProperties>
</file>