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AD9" w:rsidRPr="0092713C" w:rsidRDefault="006A6AD9" w:rsidP="006A6AD9">
      <w:pPr>
        <w:spacing w:after="30" w:line="240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eastAsia="Calibri" w:hAnsi="Times New Roman" w:cs="Times New Roman"/>
          <w:noProof/>
          <w:color w:val="4472C4" w:themeColor="accent5"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49793FD" wp14:editId="761546EC">
            <wp:simplePos x="0" y="0"/>
            <wp:positionH relativeFrom="column">
              <wp:posOffset>-18415</wp:posOffset>
            </wp:positionH>
            <wp:positionV relativeFrom="paragraph">
              <wp:posOffset>133</wp:posOffset>
            </wp:positionV>
            <wp:extent cx="690880" cy="924560"/>
            <wp:effectExtent l="0" t="0" r="0" b="2540"/>
            <wp:wrapTight wrapText="bothSides">
              <wp:wrapPolygon edited="0">
                <wp:start x="0" y="0"/>
                <wp:lineTo x="0" y="21363"/>
                <wp:lineTo x="21044" y="21363"/>
                <wp:lineTo x="21044" y="0"/>
                <wp:lineTo x="0" y="0"/>
              </wp:wrapPolygon>
            </wp:wrapTight>
            <wp:docPr id="1" name="Рисунок 1" descr="H:\20201102 COMSOL Multiphysics Ревенок\Gerb Герб ВН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1102 COMSOL Multiphysics Ревенок\Gerb Герб ВНМ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088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Вінницький національний медичний університет ім. М.І. Пирогова</w:t>
      </w:r>
    </w:p>
    <w:p w:rsidR="006A6AD9" w:rsidRDefault="006A6AD9" w:rsidP="006A6AD9">
      <w:pPr>
        <w:spacing w:after="30" w:line="240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Pr="0092713C" w:rsidRDefault="006A6AD9" w:rsidP="006A6AD9">
      <w:pPr>
        <w:spacing w:after="30" w:line="240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СИЛАБУС </w:t>
      </w:r>
    </w:p>
    <w:p w:rsidR="006A6AD9" w:rsidRPr="0092713C" w:rsidRDefault="006A6AD9" w:rsidP="006A6AD9">
      <w:pPr>
        <w:spacing w:after="30" w:line="240" w:lineRule="auto"/>
        <w:ind w:left="708" w:firstLine="708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________________________________________________________</w:t>
      </w:r>
    </w:p>
    <w:p w:rsidR="006A6AD9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Дисципліна з підготовки доктора філософії:</w:t>
      </w:r>
    </w:p>
    <w:p w:rsidR="006A6AD9" w:rsidRPr="0092713C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Pr="0092713C" w:rsidRDefault="006A6AD9" w:rsidP="006A6AD9">
      <w:pPr>
        <w:spacing w:after="3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4472C4" w:themeColor="accent5"/>
          <w:sz w:val="24"/>
          <w:szCs w:val="24"/>
          <w:u w:val="single"/>
        </w:rPr>
        <w:t>ПЕДІАТРІЯ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5568"/>
      </w:tblGrid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Спеціальність 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«Педіатрія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Освітньо</w:t>
            </w:r>
            <w:proofErr w:type="spellEnd"/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-наукова програма 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«Педіатрія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2020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Рівень вищої освіти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Третій (</w:t>
            </w:r>
            <w:proofErr w:type="spellStart"/>
            <w:r w:rsidRPr="0092713C">
              <w:rPr>
                <w:rFonts w:ascii="Times New Roman" w:eastAsia="Calibri" w:hAnsi="Times New Roman" w:cs="Times New Roman"/>
                <w:sz w:val="24"/>
                <w:szCs w:val="24"/>
              </w:rPr>
              <w:t>освітньо</w:t>
            </w:r>
            <w:proofErr w:type="spellEnd"/>
            <w:r w:rsidRPr="009271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-науковий) 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7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2713C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Статус дисципліни 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(обов’язкова/вибіркова) 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Вибіркова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цикл професійної підготовки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Мова</w:t>
            </w:r>
            <w:r w:rsidRPr="0092713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викладання 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1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українська,  англійська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Загальне навантаження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кредитів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ЄКТС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Курс / семестр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I-III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3-6</w:t>
            </w:r>
            <w:r w:rsidRPr="00927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A6AD9" w:rsidRPr="00685A4E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Укладач (і)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685A4E" w:rsidRDefault="006A6AD9" w:rsidP="00777107">
            <w:pPr>
              <w:spacing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</w:pP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д.мед.н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., </w:t>
            </w: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проф.Яблонь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О.С., </w:t>
            </w: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д.мед.н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., проф. </w:t>
            </w: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Токарчук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Н.І., </w:t>
            </w: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д.мед.н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., проф. </w:t>
            </w: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Процюк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Т.Л., аспірант </w:t>
            </w:r>
            <w:proofErr w:type="spellStart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Назарчук</w:t>
            </w:r>
            <w:proofErr w:type="spellEnd"/>
            <w:r w:rsidRPr="00302FB9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Н.М</w:t>
            </w:r>
            <w:r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</w:t>
            </w:r>
            <w:hyperlink r:id="rId6" w:history="1">
              <w:r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ediatrics</w:t>
              </w:r>
              <w:r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@vnmu.edu.ua</w:t>
              </w:r>
            </w:hyperlink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A6AD9" w:rsidRPr="00985A87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5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Викладач (і), гостьові лектори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85A87" w:rsidRDefault="006A6AD9" w:rsidP="00777107">
            <w:pPr>
              <w:spacing w:after="3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A87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професор </w:t>
            </w:r>
            <w:proofErr w:type="spellStart"/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>Яблонь</w:t>
            </w:r>
            <w:proofErr w:type="spellEnd"/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О.С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професор </w:t>
            </w:r>
            <w:proofErr w:type="spellStart"/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>Токарчук</w:t>
            </w:r>
            <w:proofErr w:type="spellEnd"/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Н.І.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професор </w:t>
            </w:r>
            <w:proofErr w:type="spellStart"/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>Процюк</w:t>
            </w:r>
            <w:proofErr w:type="spellEnd"/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Т.Л.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</w:pPr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професор </w:t>
            </w:r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Дудник В.М.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</w:pPr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доцент </w:t>
            </w:r>
            <w:proofErr w:type="spellStart"/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Андрікевич</w:t>
            </w:r>
            <w:proofErr w:type="spellEnd"/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І.І.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</w:pPr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доцент  </w:t>
            </w:r>
            <w:proofErr w:type="spellStart"/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Мантак</w:t>
            </w:r>
            <w:proofErr w:type="spellEnd"/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 xml:space="preserve"> Г.І.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</w:pPr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доцент Курець О.О.</w:t>
            </w:r>
          </w:p>
          <w:p w:rsidR="006A6AD9" w:rsidRPr="00985A87" w:rsidRDefault="006A6AD9" w:rsidP="00777107">
            <w:pPr>
              <w:spacing w:after="30" w:line="240" w:lineRule="auto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985A87">
              <w:rPr>
                <w:rFonts w:ascii="Times New Roman" w:hAnsi="Times New Roman" w:cs="Times New Roman"/>
                <w:sz w:val="24"/>
                <w:szCs w:val="24"/>
                <w:lang w:eastAsia="uk-UA" w:bidi="uk-UA"/>
              </w:rPr>
              <w:t>доцент Ющенко Л.О.</w:t>
            </w:r>
          </w:p>
        </w:tc>
      </w:tr>
      <w:tr w:rsidR="006A6AD9" w:rsidRPr="0092713C" w:rsidTr="00777107"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A6AD9" w:rsidRPr="0092713C" w:rsidRDefault="006A6AD9" w:rsidP="00777107">
            <w:pPr>
              <w:spacing w:before="100" w:beforeAutospacing="1" w:after="3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7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Місце проведення, контакти</w:t>
            </w:r>
          </w:p>
        </w:tc>
        <w:tc>
          <w:tcPr>
            <w:tcW w:w="5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A6AD9" w:rsidRPr="0092713C" w:rsidRDefault="006A6AD9" w:rsidP="00777107">
            <w:pPr>
              <w:spacing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Кафедра педіатрії </w:t>
            </w:r>
            <w:r w:rsidRPr="00196578">
              <w:rPr>
                <w:rFonts w:ascii="Times New Roman" w:eastAsia="Calibri" w:hAnsi="Times New Roman" w:cs="Times New Roman"/>
                <w:sz w:val="24"/>
                <w:szCs w:val="24"/>
              </w:rPr>
              <w:t>№ 1</w:t>
            </w:r>
          </w:p>
          <w:p w:rsidR="006A6AD9" w:rsidRPr="00985A87" w:rsidRDefault="006A6AD9" w:rsidP="00777107">
            <w:pPr>
              <w:spacing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Адреса: 21028, м. Вінниця, Хмельницьке шосе, 108, </w:t>
            </w:r>
          </w:p>
          <w:p w:rsidR="006A6AD9" w:rsidRPr="00985A87" w:rsidRDefault="006A6AD9" w:rsidP="00777107">
            <w:pPr>
              <w:spacing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85A87">
              <w:rPr>
                <w:rFonts w:ascii="Times New Roman" w:eastAsia="Calibri" w:hAnsi="Times New Roman" w:cs="Times New Roman"/>
                <w:sz w:val="24"/>
                <w:szCs w:val="24"/>
              </w:rPr>
              <w:t>телефон +380674963472</w:t>
            </w:r>
          </w:p>
          <w:p w:rsidR="006A6AD9" w:rsidRPr="00985A87" w:rsidRDefault="00EA12BE" w:rsidP="00777107">
            <w:pPr>
              <w:spacing w:after="3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A6AD9"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6A6AD9"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ediatrics</w:t>
              </w:r>
              <w:r w:rsidR="006A6AD9"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6A6AD9" w:rsidRPr="00985A8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@vnmu.edu.ua</w:t>
              </w:r>
            </w:hyperlink>
          </w:p>
          <w:p w:rsidR="006A6AD9" w:rsidRPr="0092713C" w:rsidRDefault="00EA12BE" w:rsidP="00777107">
            <w:pPr>
              <w:spacing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6A6AD9" w:rsidRPr="00985A87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nadia_tokarchuk@ukr.net</w:t>
              </w:r>
            </w:hyperlink>
          </w:p>
        </w:tc>
      </w:tr>
    </w:tbl>
    <w:p w:rsidR="006A6AD9" w:rsidRPr="0092713C" w:rsidRDefault="006A6AD9" w:rsidP="006A6AD9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  <w:shd w:val="clear" w:color="auto" w:fill="FFFFFF"/>
        </w:rPr>
      </w:pPr>
    </w:p>
    <w:p w:rsidR="006A6AD9" w:rsidRPr="00391DB8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hAnsi="Times New Roman"/>
          <w:b/>
          <w:bCs/>
          <w:color w:val="4472C4" w:themeColor="accent5"/>
          <w:sz w:val="24"/>
          <w:szCs w:val="24"/>
          <w:lang w:val="uk-UA"/>
        </w:rPr>
      </w:pPr>
      <w:r w:rsidRPr="00391DB8">
        <w:rPr>
          <w:rFonts w:ascii="Times New Roman" w:hAnsi="Times New Roman"/>
          <w:b/>
          <w:bCs/>
          <w:color w:val="4472C4" w:themeColor="accent5"/>
          <w:sz w:val="24"/>
          <w:szCs w:val="24"/>
          <w:lang w:val="uk-UA"/>
        </w:rPr>
        <w:t>ОПИС ДИСЦИПЛІНИ</w:t>
      </w:r>
    </w:p>
    <w:p w:rsidR="006A6AD9" w:rsidRPr="0092713C" w:rsidRDefault="006A6AD9" w:rsidP="006A6AD9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hAnsi="Times New Roman" w:cs="Times New Roman"/>
          <w:b/>
          <w:color w:val="4472C4" w:themeColor="accent5"/>
          <w:sz w:val="24"/>
          <w:szCs w:val="24"/>
          <w:shd w:val="clear" w:color="auto" w:fill="FFFFFF"/>
        </w:rPr>
        <w:t>АНОТАЦІЯ</w:t>
      </w:r>
    </w:p>
    <w:p w:rsidR="006A6AD9" w:rsidRPr="00A66C9C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C9C">
        <w:rPr>
          <w:rFonts w:ascii="Times New Roman" w:hAnsi="Times New Roman" w:cs="Times New Roman"/>
          <w:sz w:val="24"/>
          <w:szCs w:val="24"/>
        </w:rPr>
        <w:t>Аспіранту</w:t>
      </w:r>
      <w:r w:rsidRPr="00A66C9C">
        <w:rPr>
          <w:rFonts w:ascii="Times New Roman" w:hAnsi="Times New Roman" w:cs="Times New Roman"/>
          <w:color w:val="000000"/>
          <w:sz w:val="24"/>
          <w:szCs w:val="24"/>
        </w:rPr>
        <w:t xml:space="preserve"> винесені питання диференційної діагностики найбільш поширених захворювань, а саме, органів дихання у дітей, захворювань системи кровообігу, системи кровотворення, ендокринної патології у дітей, захворювань органів травлення, органів сечової системи у дітей, найбільш поширених захворювань дітей </w:t>
      </w:r>
      <w:proofErr w:type="spellStart"/>
      <w:r w:rsidRPr="00A66C9C">
        <w:rPr>
          <w:rFonts w:ascii="Times New Roman" w:hAnsi="Times New Roman" w:cs="Times New Roman"/>
          <w:color w:val="000000"/>
          <w:sz w:val="24"/>
          <w:szCs w:val="24"/>
        </w:rPr>
        <w:t>неонатального</w:t>
      </w:r>
      <w:proofErr w:type="spellEnd"/>
      <w:r w:rsidRPr="00A66C9C">
        <w:rPr>
          <w:rFonts w:ascii="Times New Roman" w:hAnsi="Times New Roman" w:cs="Times New Roman"/>
          <w:color w:val="000000"/>
          <w:sz w:val="24"/>
          <w:szCs w:val="24"/>
        </w:rPr>
        <w:t xml:space="preserve"> віку, з наданням невідкладної допомоги при основних невідкладних станах в розрізі вищевказаних напрямків педіатрії та диспансерний нагляд за здоровими та хворими дітьми в умовах поліклініки.</w:t>
      </w:r>
    </w:p>
    <w:p w:rsidR="006A6AD9" w:rsidRPr="0092713C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МЕТА ТА ЗАВДАННЯ </w:t>
      </w:r>
    </w:p>
    <w:p w:rsidR="006A6AD9" w:rsidRPr="00A66C9C" w:rsidRDefault="006A6AD9" w:rsidP="006A6A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6"/>
        </w:tabs>
        <w:spacing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C9C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>Метою викладання</w:t>
      </w:r>
      <w:r w:rsidRPr="00A66C9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навчальної дисципліни “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</w:t>
      </w:r>
      <w:r w:rsidRPr="00A66C9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едіатрія</w:t>
      </w:r>
      <w:r w:rsidRPr="000B1FF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”</w:t>
      </w:r>
      <w:r w:rsidRPr="00A66C9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є </w:t>
      </w:r>
      <w:r w:rsidRPr="00A66C9C">
        <w:rPr>
          <w:rFonts w:ascii="Times New Roman" w:hAnsi="Times New Roman" w:cs="Times New Roman"/>
          <w:color w:val="000000"/>
          <w:sz w:val="24"/>
          <w:szCs w:val="24"/>
        </w:rPr>
        <w:t xml:space="preserve">здобуття аспірантами та поглиблення комплексу знань, вмінь, навичок та інших компетенцій, достатніх для продукування нових ідей, розв’язання комплексних завдань з цієї дисципліни, оволодіння методологією наукової та педагогічної діяльності, а також проведення власного наукового дослідження, що вирішує </w:t>
      </w:r>
      <w:r w:rsidRPr="00A66C9C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актуальне наукове завдання в педіатрії, результати якого мають наукову новизну, теоретичне та практичне значення.</w:t>
      </w:r>
    </w:p>
    <w:p w:rsidR="006A6AD9" w:rsidRPr="00A66C9C" w:rsidRDefault="006A6AD9" w:rsidP="006A6A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C9C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>Основними завданнями</w:t>
      </w:r>
      <w:r w:rsidRPr="00A66C9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вивчення дисципліни є </w:t>
      </w:r>
      <w:r w:rsidRPr="00A66C9C">
        <w:rPr>
          <w:rFonts w:ascii="Times New Roman" w:hAnsi="Times New Roman" w:cs="Times New Roman"/>
          <w:color w:val="000000"/>
          <w:sz w:val="24"/>
          <w:szCs w:val="24"/>
        </w:rPr>
        <w:t>формування системи знань, професійних умінь, педагогічної майстерності, дослідницько-інноваційної діяльності та практичних навичок під час ведення хворих педіатричного профілю.</w:t>
      </w:r>
    </w:p>
    <w:p w:rsidR="006A6AD9" w:rsidRPr="00094B43" w:rsidRDefault="006A6AD9" w:rsidP="006A6AD9">
      <w:pPr>
        <w:pStyle w:val="a4"/>
        <w:numPr>
          <w:ilvl w:val="0"/>
          <w:numId w:val="1"/>
        </w:numPr>
        <w:spacing w:after="30" w:line="240" w:lineRule="auto"/>
        <w:jc w:val="both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094B43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РЕЗУЛЬТАТИ НАВЧАННЯ </w:t>
      </w:r>
    </w:p>
    <w:p w:rsidR="006A6AD9" w:rsidRPr="0092713C" w:rsidRDefault="006A6AD9" w:rsidP="006A6AD9">
      <w:pPr>
        <w:spacing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13C">
        <w:rPr>
          <w:rFonts w:ascii="Times New Roman" w:hAnsi="Times New Roman" w:cs="Times New Roman"/>
          <w:sz w:val="24"/>
          <w:szCs w:val="24"/>
        </w:rPr>
        <w:t xml:space="preserve">Після успішного вивчення дисципліни здобувач зможе: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1.  Демонструвати безперервний розвиток власного інтелектуального та загальнокультурного рівню, самореалізації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Інтерпретувати та аналізувати інформацію з використанням новітніх інформаційних технологій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Виявляти невирішені проблеми у предметній області, формулювати питання та визначати шляхи їх рішення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Формулювати наукові гіпотези, мету і завдання наукового дослідження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Розробляти дизайн та план наукового дослідження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Виконувати оригінальне наукове дослідження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Пояснювати принципи, специфічність та чутливість методів дослідження, інформативність обраних показників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Володіти, вдосконалювати та впроваджувати нові методи дослідження за обраним напрямом наукового проекту та освітньої діяльності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Аналізувати результати наукових досліджень, використовувати методи статистичного дослідження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 10. Впроваджувати результати наукових досліджень у освітній процес, медичну практику та суспільство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 11.Презентувати результати наукових досліджень у формі презентації,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доповідей, публікацій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 12. Розвивати комунікації в професійному середовищі й громадській сфері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 13. Організовувати освітній процес 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РН14. Оцінювати ефективність освітнього процесу, рекомендувати шляхи його удосконалення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15. Організовувати роботу колективу (здобувачів вищої освіти, колег, міждисциплінарної команди)</w:t>
      </w:r>
    </w:p>
    <w:p w:rsidR="006A6AD9" w:rsidRDefault="006A6AD9" w:rsidP="006A6AD9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Дотримуватися етичних принципів при роботі з пацієнтами, лабораторними тваринами</w:t>
      </w:r>
    </w:p>
    <w:p w:rsidR="006A6AD9" w:rsidRPr="0092713C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 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Дотримуватися академічної доброчесності, нести відповідальність за достовірність отриманих наукових результатів</w:t>
      </w:r>
    </w:p>
    <w:p w:rsidR="006A6AD9" w:rsidRPr="0092713C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hAnsi="Times New Roman"/>
          <w:b/>
          <w:color w:val="4472C4" w:themeColor="accent5"/>
          <w:sz w:val="24"/>
          <w:szCs w:val="24"/>
        </w:rPr>
        <w:t>РОЗПОДІЛ ЗА ВИДАМИ ЗАНЯТЬ ТА ГОДИНАМИ НАВЧАННЯ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28"/>
        <w:gridCol w:w="4665"/>
      </w:tblGrid>
      <w:tr w:rsidR="006A6AD9" w:rsidRPr="0092713C" w:rsidTr="00777107">
        <w:tc>
          <w:tcPr>
            <w:tcW w:w="4828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2713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Вид занять</w:t>
            </w:r>
          </w:p>
        </w:tc>
        <w:tc>
          <w:tcPr>
            <w:tcW w:w="4665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2713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Години</w:t>
            </w:r>
          </w:p>
        </w:tc>
      </w:tr>
      <w:tr w:rsidR="006A6AD9" w:rsidRPr="0092713C" w:rsidTr="00777107">
        <w:tc>
          <w:tcPr>
            <w:tcW w:w="4828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2713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Практичні заняття</w:t>
            </w:r>
          </w:p>
        </w:tc>
        <w:tc>
          <w:tcPr>
            <w:tcW w:w="4665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  <w:tr w:rsidR="006A6AD9" w:rsidRPr="0092713C" w:rsidTr="00777107">
        <w:tc>
          <w:tcPr>
            <w:tcW w:w="4828" w:type="dxa"/>
            <w:shd w:val="clear" w:color="auto" w:fill="auto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F4D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Медична практика</w:t>
            </w:r>
          </w:p>
        </w:tc>
        <w:tc>
          <w:tcPr>
            <w:tcW w:w="4665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6A6AD9" w:rsidRPr="0092713C" w:rsidTr="00777107">
        <w:tc>
          <w:tcPr>
            <w:tcW w:w="4828" w:type="dxa"/>
          </w:tcPr>
          <w:p w:rsidR="006A6AD9" w:rsidRPr="000B1FFA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2713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Самостійна роботи</w:t>
            </w:r>
            <w:r w:rsidRPr="000B1F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4665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  <w:tr w:rsidR="006A6AD9" w:rsidRPr="0092713C" w:rsidTr="00777107">
        <w:tc>
          <w:tcPr>
            <w:tcW w:w="4828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2713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Всього</w:t>
            </w:r>
          </w:p>
        </w:tc>
        <w:tc>
          <w:tcPr>
            <w:tcW w:w="4665" w:type="dxa"/>
          </w:tcPr>
          <w:p w:rsidR="006A6AD9" w:rsidRPr="0092713C" w:rsidRDefault="006A6AD9" w:rsidP="00777107">
            <w:pPr>
              <w:spacing w:after="3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240</w:t>
            </w:r>
          </w:p>
        </w:tc>
      </w:tr>
    </w:tbl>
    <w:p w:rsidR="006A6AD9" w:rsidRPr="0092713C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hAnsi="Times New Roman"/>
          <w:b/>
          <w:color w:val="4472C4" w:themeColor="accent5"/>
          <w:sz w:val="24"/>
          <w:szCs w:val="24"/>
        </w:rPr>
        <w:t>ТЕМАТИЧНИЙ ПЛАН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9"/>
      </w:tblGrid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/>
                <w:bCs/>
                <w:sz w:val="24"/>
                <w:szCs w:val="24"/>
              </w:rPr>
              <w:t>Назва теми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Ведення хворих в </w:t>
            </w:r>
            <w:proofErr w:type="spellStart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неонатальному</w:t>
            </w:r>
            <w:proofErr w:type="spellEnd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 періоді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Ведення хворих дітей першого року життя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Імунопрофілактика в педіатрії.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Ведення хворих дітей з патологією </w:t>
            </w:r>
            <w:proofErr w:type="spellStart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бронхолегеневої</w:t>
            </w:r>
            <w:proofErr w:type="spellEnd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 системи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Ведення хворих дітей з алергологічною патологією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Ведення хворих дітей з кардіоревматологічною патологією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Ведення хворих дітей з патологією травної системи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Ведення хворих дітей з патологією сечової системи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Ведення хворих дітей з ендокринною патологією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Історія розвитку та сучасний стан наукових знань в педіатрії. Новітні напрямки наукових досліджень в педіатрії.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Сучасні методи лабораторної та інструментальної діагностики в педіатрії.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Доказова медицина в сучасній педіатричній науці. </w:t>
            </w:r>
            <w:proofErr w:type="spellStart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Коморбідність</w:t>
            </w:r>
            <w:proofErr w:type="spellEnd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 в педіатрії як проблема сучасної науки.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Загальні принципи побудови дизайну наукового дослідження в педіатрії. Етика та методологія наукового дослідження.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Сучасні підходи до міждисциплінарних наукових досліджень.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Особливості викладання педіатрії у вищих медичних навчальних закладах, технологія педагогічного процесу.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Надання невідкладної допомоги при зупинці серцевої діяльності та зовнішнього дихання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Надання невідкладної допомоги при гострій дихальній недостатності, серцево-судинній недостатності та порушеннях серцевого ритму та провідності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Надання невідкладної допомоги при </w:t>
            </w:r>
            <w:proofErr w:type="spellStart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гіпертензивному</w:t>
            </w:r>
            <w:proofErr w:type="spellEnd"/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 кризі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Надання невідкладної допомоги при гострій печінковій та нирковій недостатності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Надання невідкладної допомоги при нападі БА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shd w:val="clear" w:color="auto" w:fill="auto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Надання невідкладної допомоги при анафілактичному шоці, лихоманці та судомах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Профілактика порушень фізичного та нервово-психічного розвитку, формування дефіцитних станів у дітей першого року життя. 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Профілактика респіраторної патології у дітей, заходи попередження захворюваності у дітей, які часто хворіють.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 xml:space="preserve">Первинна та вторинна профілактика гострої ревматичної лихоманки у дітей. 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Вторинна профілактика інфекційного ендокардиту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Профілактика артеріальної гіпертензії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Профілактика ожиріння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Профілактика патології травної системи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Профілактика патології сечової системи у дітей.</w:t>
            </w:r>
          </w:p>
        </w:tc>
      </w:tr>
      <w:tr w:rsidR="006A6AD9" w:rsidRPr="00DF6088" w:rsidTr="00777107">
        <w:trPr>
          <w:jc w:val="center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6A6AD9">
            <w:pPr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30" w:line="240" w:lineRule="auto"/>
              <w:ind w:left="426" w:hanging="42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A6AD9" w:rsidRPr="00DF6088" w:rsidRDefault="006A6AD9" w:rsidP="00777107">
            <w:pPr>
              <w:autoSpaceDE w:val="0"/>
              <w:autoSpaceDN w:val="0"/>
              <w:adjustRightInd w:val="0"/>
              <w:spacing w:after="3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088">
              <w:rPr>
                <w:rFonts w:ascii="Times New Roman" w:hAnsi="Times New Roman"/>
                <w:bCs/>
                <w:sz w:val="24"/>
                <w:szCs w:val="24"/>
              </w:rPr>
              <w:t>Профілактичні заходи в дитячій алергології.</w:t>
            </w:r>
          </w:p>
        </w:tc>
      </w:tr>
    </w:tbl>
    <w:p w:rsidR="006A6AD9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6A6AD9" w:rsidRPr="0092713C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МЕТОДИ НАВЧАННЯ </w:t>
      </w:r>
    </w:p>
    <w:p w:rsidR="006A6AD9" w:rsidRPr="0092713C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92713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Методи навчання: лекція, пояснення, бесіда, організація дослідження, розповідь, ілюстрація, спостереження, клінічно-дослідні роботи, навчальна дискусія, суперечка, обговорення будь-якого питання навчального матеріалу, пізнавальні ігри шляхом моделювання життєвих ситуацій, що викликають інтерес до навчальних предметів,  створення ситуації інтересу в процесі викладання навчального матеріалу, створення ситуації новизни навчального матеріалу, опора на життєвий досвід.</w:t>
      </w:r>
    </w:p>
    <w:p w:rsidR="006A6AD9" w:rsidRPr="0092713C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Pr="00126673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2713C">
        <w:rPr>
          <w:rFonts w:ascii="Times New Roman" w:hAnsi="Times New Roman"/>
          <w:b/>
          <w:caps/>
          <w:color w:val="4472C4" w:themeColor="accent5"/>
          <w:sz w:val="24"/>
          <w:szCs w:val="24"/>
        </w:rPr>
        <w:t>Підсумковий контроль ДИСЦИПЛІНИ -</w:t>
      </w:r>
      <w:r w:rsidRPr="0012667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26673">
        <w:rPr>
          <w:rFonts w:ascii="Times New Roman" w:hAnsi="Times New Roman"/>
          <w:bCs/>
          <w:color w:val="000000" w:themeColor="text1"/>
          <w:sz w:val="24"/>
          <w:szCs w:val="24"/>
        </w:rPr>
        <w:t>іспит</w:t>
      </w:r>
      <w:proofErr w:type="spellEnd"/>
    </w:p>
    <w:p w:rsidR="006A6AD9" w:rsidRPr="0092713C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Pr="0092713C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ФОРМИ ОЦІНЮВАННЯ</w:t>
      </w:r>
    </w:p>
    <w:p w:rsidR="006A6AD9" w:rsidRPr="0092713C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FE155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Усний контроль: основне запитання, додаткові, допоміжні; запитання у вигляді проблеми; індивідуальне, фронтальне опитування і комбіноване; письмовий контроль; програмований контроль.</w:t>
      </w:r>
    </w:p>
    <w:p w:rsidR="006A6AD9" w:rsidRPr="0092713C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</w:p>
    <w:p w:rsidR="006A6AD9" w:rsidRPr="0092713C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92713C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СИСТЕМА ОЦІНЮВАННЯ</w:t>
      </w:r>
    </w:p>
    <w:p w:rsidR="006A6AD9" w:rsidRPr="00A9641F" w:rsidRDefault="006A6AD9" w:rsidP="006A6AD9">
      <w:pPr>
        <w:shd w:val="clear" w:color="auto" w:fill="FFFFFF"/>
        <w:spacing w:before="225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964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підсумкового контролю успішності навчання:</w:t>
      </w:r>
      <w:r w:rsidRPr="00A96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оцінка з дисципліни здобувача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складає</w:t>
      </w:r>
      <w:r w:rsidRPr="00A96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ться з суми балів поточного контролю та балів, отриманих за іспит. </w:t>
      </w:r>
    </w:p>
    <w:p w:rsidR="006A6AD9" w:rsidRPr="00ED037B" w:rsidRDefault="006A6AD9" w:rsidP="006A6AD9">
      <w:pPr>
        <w:shd w:val="clear" w:color="auto" w:fill="FFFFFF"/>
        <w:spacing w:before="225" w:after="3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641F">
        <w:rPr>
          <w:rFonts w:ascii="Times New Roman" w:eastAsia="Calibri" w:hAnsi="Times New Roman" w:cs="Times New Roman"/>
          <w:b/>
          <w:sz w:val="24"/>
          <w:szCs w:val="24"/>
        </w:rPr>
        <w:t xml:space="preserve">Форма поточного контролю успішності навчання: </w:t>
      </w:r>
      <w:r w:rsidRPr="00A9641F">
        <w:rPr>
          <w:rFonts w:ascii="Times New Roman" w:eastAsia="Calibri" w:hAnsi="Times New Roman" w:cs="Times New Roman"/>
          <w:sz w:val="24"/>
          <w:szCs w:val="24"/>
        </w:rPr>
        <w:t>сума балів поточного контролю визначається на основі оцінок поточної навчальної діяльності здобувача із всіх тем за традиційною 4-бальною системою (відмінно, добре, задовільно, незадовільно).</w:t>
      </w:r>
    </w:p>
    <w:p w:rsidR="006A6AD9" w:rsidRPr="00BC2EC1" w:rsidRDefault="006A6AD9" w:rsidP="006A6AD9">
      <w:pPr>
        <w:pStyle w:val="a4"/>
        <w:numPr>
          <w:ilvl w:val="0"/>
          <w:numId w:val="1"/>
        </w:numPr>
        <w:shd w:val="clear" w:color="auto" w:fill="FFFFFF"/>
        <w:spacing w:before="225" w:after="30" w:line="240" w:lineRule="auto"/>
        <w:jc w:val="both"/>
        <w:rPr>
          <w:rFonts w:ascii="Times New Roman" w:eastAsia="Times New Roman" w:hAnsi="Times New Roman"/>
          <w:b/>
          <w:color w:val="4472C4" w:themeColor="accent5"/>
          <w:sz w:val="24"/>
          <w:szCs w:val="24"/>
          <w:lang w:eastAsia="ru-RU"/>
        </w:rPr>
      </w:pPr>
      <w:r w:rsidRPr="00BC2EC1">
        <w:rPr>
          <w:rFonts w:ascii="Times New Roman" w:hAnsi="Times New Roman"/>
          <w:b/>
          <w:color w:val="4472C4" w:themeColor="accent5"/>
          <w:sz w:val="24"/>
          <w:szCs w:val="24"/>
        </w:rPr>
        <w:t>КРИТЕРІЇ ОЦІНЮВАННЯ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D037B">
        <w:rPr>
          <w:rFonts w:ascii="Times New Roman" w:eastAsia="Calibri" w:hAnsi="Times New Roman" w:cs="Times New Roman"/>
          <w:b/>
          <w:sz w:val="24"/>
          <w:szCs w:val="24"/>
        </w:rPr>
        <w:t>Кри</w:t>
      </w:r>
      <w:r>
        <w:rPr>
          <w:rFonts w:ascii="Times New Roman" w:eastAsia="Calibri" w:hAnsi="Times New Roman" w:cs="Times New Roman"/>
          <w:b/>
          <w:sz w:val="24"/>
          <w:szCs w:val="24"/>
        </w:rPr>
        <w:t>теріі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̈ оцінювання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кожноі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̈ теми: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"відмінно"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виставляється у випадку, коли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здобувач 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знає зміст теми заняття у повному обсязі, ілюструючи відповіді різноманітними прикладами; дає вичерпні, точні та ясні відповіді без будь-яких навідних питань; викладає матеріал без помилок і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неточностеи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̆; вільно вирішує задачі та виконує практичні завдання різного ступеню складності,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самостійно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генерує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інноваційні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ідеі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̈.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"добре"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виставляється за умови, коли </w:t>
      </w:r>
      <w:r>
        <w:rPr>
          <w:rFonts w:ascii="Times New Roman" w:eastAsia="Calibri" w:hAnsi="Times New Roman" w:cs="Times New Roman"/>
          <w:bCs/>
          <w:sz w:val="24"/>
          <w:szCs w:val="24"/>
        </w:rPr>
        <w:t>здобувач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знає зміст теми заняття та добре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його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розуміє, відповіді на питання викладає правильно, послідовно та систематично, але вони не є вичерпними, хоча на додаткові питання здобувач відповідає без помилок; вирішує всі задачі і виконує практичні завдання, відчуваючи складнощі лише у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найважчих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випадках.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"задовільно"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ставиться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здобувачу 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на основі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його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знань всього змісту теми заняття та при задовільному рівні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його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розуміння. </w:t>
      </w:r>
      <w:r>
        <w:rPr>
          <w:rFonts w:ascii="Times New Roman" w:eastAsia="Calibri" w:hAnsi="Times New Roman" w:cs="Times New Roman"/>
          <w:bCs/>
          <w:sz w:val="24"/>
          <w:szCs w:val="24"/>
        </w:rPr>
        <w:t>Здобувач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спроможнии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 вирішувати видозмінені (спрощені) завдання за допомогою навідних питань; вирішує задачі та виконує практичні навички, відчуваючи складнощі у простих випадках; не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спроможнии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самостійно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систематично викласти відповідь, але на прямо поставлені запитання відповідає правильно.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"незадовільно"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виставляється у випадках, коли знання і вміння здобувача не відповідають вимогам "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задовільноі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̈" оцінки. </w:t>
      </w:r>
    </w:p>
    <w:p w:rsidR="006A6AD9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6AD9" w:rsidRPr="0092713C" w:rsidRDefault="006A6AD9" w:rsidP="006A6AD9">
      <w:pPr>
        <w:widowControl w:val="0"/>
        <w:spacing w:after="30" w:line="240" w:lineRule="auto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92713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Оцінювання самостійної роботи.</w:t>
      </w:r>
    </w:p>
    <w:p w:rsidR="006A6AD9" w:rsidRPr="00ED037B" w:rsidRDefault="006A6AD9" w:rsidP="006A6AD9">
      <w:pPr>
        <w:widowControl w:val="0"/>
        <w:spacing w:after="3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D037B">
        <w:rPr>
          <w:rFonts w:ascii="Times New Roman" w:hAnsi="Times New Roman" w:cs="Times New Roman"/>
          <w:sz w:val="24"/>
          <w:szCs w:val="24"/>
        </w:rPr>
        <w:t>Оцінюван</w:t>
      </w:r>
      <w:r>
        <w:rPr>
          <w:rFonts w:ascii="Times New Roman" w:hAnsi="Times New Roman" w:cs="Times New Roman"/>
          <w:sz w:val="24"/>
          <w:szCs w:val="24"/>
        </w:rPr>
        <w:t>ня самостійної роботи здобувачів</w:t>
      </w:r>
      <w:r w:rsidRPr="00ED037B">
        <w:rPr>
          <w:rFonts w:ascii="Times New Roman" w:hAnsi="Times New Roman" w:cs="Times New Roman"/>
          <w:sz w:val="24"/>
          <w:szCs w:val="24"/>
        </w:rPr>
        <w:t>, яка передбачена в темі поряд з аудиторною роботою, здійснюється під час поточного контролю теми на відповідному практичному занятті. Оцінювання тем, які виносяться лише на самостійну роботу і не входять до тем аудиторних навчальних занять, контролюється при проведенні іспиту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D037B">
        <w:rPr>
          <w:rFonts w:ascii="Times New Roman" w:eastAsia="Calibri" w:hAnsi="Times New Roman" w:cs="Times New Roman"/>
          <w:b/>
          <w:sz w:val="24"/>
          <w:szCs w:val="24"/>
        </w:rPr>
        <w:t>Критеріі</w:t>
      </w:r>
      <w:proofErr w:type="spellEnd"/>
      <w:r w:rsidRPr="00ED037B">
        <w:rPr>
          <w:rFonts w:ascii="Times New Roman" w:eastAsia="Calibri" w:hAnsi="Times New Roman" w:cs="Times New Roman"/>
          <w:b/>
          <w:sz w:val="24"/>
          <w:szCs w:val="24"/>
        </w:rPr>
        <w:t xml:space="preserve">̈ оцінювання під час проведення іспиту: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"відмінно"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(80-71)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виставляється у випадку, коли здобувач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під час співбесіди та виконання отриманого завдання відповів на всі поставлені (екзаменаторами в разі іспиту) запитання з дисципліни у повному обсязі, може проілюструвати відповіді різноманітними прикладами; дає вичерпні, точні та ясні відповіді без будь-яких навідних питань; викладає матеріал без помилок; вільно вирішує задачі та виконує практичні завдання різного ступеню складності,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самостійно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генерує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інноваційні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ідеі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̈. В межах діапазону балів оцінювання відбувається з урахуванням окремих несуттєвих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неточностеи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̆.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"добре"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(70-61) виставляється за умови, коли </w:t>
      </w:r>
      <w:r>
        <w:rPr>
          <w:rFonts w:ascii="Times New Roman" w:eastAsia="Calibri" w:hAnsi="Times New Roman" w:cs="Times New Roman"/>
          <w:bCs/>
          <w:sz w:val="24"/>
          <w:szCs w:val="24"/>
        </w:rPr>
        <w:t>здобувач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під час співбесіди та виконання отриманого завдання добре відповідає і добре розуміє всі поставлені (екзаменаторами) запитання з дисципліни, відповіді на питання викладає правильно, послідовно та систематично, але вони не є вичерпними, хоча на додаткові питання здобувач відповідає без помилок; вирішує всі задачі і виконує практичні завдання, відчуваючи складнощі лише у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найважчих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випадках. В межах діапазону балів оцінювання відбувається з урахуванням окремих допущених помилок.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"задовільно"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(60-50) ставиться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здобувачу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на основі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його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знань всього змісту поставлених (екзаменаторами) під час співбесіди запитань, виконав отримане завдання і продемонстрував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задовільнии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 рівень розуміння та вмінь. </w:t>
      </w:r>
      <w:r>
        <w:rPr>
          <w:rFonts w:ascii="Times New Roman" w:eastAsia="Calibri" w:hAnsi="Times New Roman" w:cs="Times New Roman"/>
          <w:bCs/>
          <w:sz w:val="24"/>
          <w:szCs w:val="24"/>
        </w:rPr>
        <w:t>Здобувач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спроможнии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 вирішувати видозмінені (спрощені) завдання за допомогою навідних питань; вирішує задачі та виконує 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практичні навички, відчуваючи складнощі у простих випадках; не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спроможнии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̆ 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самостійно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систематично викласти відповідь, але на прямо поставлені запитання відповідає правильно. В межах діапазону балів оцінювання відбувається з урахуванням кількості допущених помилок. </w:t>
      </w:r>
    </w:p>
    <w:p w:rsidR="006A6AD9" w:rsidRPr="00ED037B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Оцінка </w:t>
      </w:r>
      <w:r w:rsidRPr="00ED037B">
        <w:rPr>
          <w:rFonts w:ascii="Times New Roman" w:eastAsia="Calibri" w:hAnsi="Times New Roman" w:cs="Times New Roman"/>
          <w:b/>
          <w:bCs/>
          <w:sz w:val="24"/>
          <w:szCs w:val="24"/>
        </w:rPr>
        <w:t>"незадовільно"</w:t>
      </w:r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 виставляється у випадках, коли знання і вміння здобувача не відповідають вимогам "</w:t>
      </w:r>
      <w:proofErr w:type="spellStart"/>
      <w:r w:rsidRPr="00ED037B">
        <w:rPr>
          <w:rFonts w:ascii="Times New Roman" w:eastAsia="Calibri" w:hAnsi="Times New Roman" w:cs="Times New Roman"/>
          <w:bCs/>
          <w:sz w:val="24"/>
          <w:szCs w:val="24"/>
        </w:rPr>
        <w:t>задовільноі</w:t>
      </w:r>
      <w:proofErr w:type="spellEnd"/>
      <w:r w:rsidRPr="00ED037B">
        <w:rPr>
          <w:rFonts w:ascii="Times New Roman" w:eastAsia="Calibri" w:hAnsi="Times New Roman" w:cs="Times New Roman"/>
          <w:bCs/>
          <w:sz w:val="24"/>
          <w:szCs w:val="24"/>
        </w:rPr>
        <w:t xml:space="preserve">̈" оцінки. </w:t>
      </w:r>
    </w:p>
    <w:p w:rsidR="006A6AD9" w:rsidRPr="0092713C" w:rsidRDefault="006A6AD9" w:rsidP="006A6AD9">
      <w:pPr>
        <w:spacing w:after="3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6AD9" w:rsidRPr="007F4DEE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ШКАЛА ОЦІНЮВАННЯ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977"/>
        <w:gridCol w:w="3118"/>
      </w:tblGrid>
      <w:tr w:rsidR="006A6AD9" w:rsidRPr="00F022C6" w:rsidTr="00777107">
        <w:trPr>
          <w:trHeight w:val="458"/>
        </w:trPr>
        <w:tc>
          <w:tcPr>
            <w:tcW w:w="3686" w:type="dxa"/>
            <w:vMerge w:val="restart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Сума балів за всі види навчальної діяльності</w:t>
            </w:r>
          </w:p>
        </w:tc>
        <w:tc>
          <w:tcPr>
            <w:tcW w:w="2977" w:type="dxa"/>
            <w:vMerge w:val="restart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Оцінка ECTS</w:t>
            </w:r>
          </w:p>
        </w:tc>
        <w:tc>
          <w:tcPr>
            <w:tcW w:w="3118" w:type="dxa"/>
            <w:vMerge w:val="restart"/>
            <w:vAlign w:val="center"/>
          </w:tcPr>
          <w:p w:rsidR="006A6AD9" w:rsidRPr="00126673" w:rsidRDefault="006A6AD9" w:rsidP="00777107">
            <w:pPr>
              <w:pStyle w:val="a5"/>
              <w:spacing w:after="30" w:afterAutospacing="0"/>
              <w:jc w:val="center"/>
              <w:rPr>
                <w:lang w:val="uk-UA"/>
              </w:rPr>
            </w:pPr>
            <w:proofErr w:type="spellStart"/>
            <w:r w:rsidRPr="00126673">
              <w:t>Оцінка</w:t>
            </w:r>
            <w:proofErr w:type="spellEnd"/>
            <w:r w:rsidRPr="00126673">
              <w:t xml:space="preserve"> за </w:t>
            </w:r>
            <w:proofErr w:type="spellStart"/>
            <w:r w:rsidRPr="00126673">
              <w:t>національною</w:t>
            </w:r>
            <w:proofErr w:type="spellEnd"/>
            <w:r w:rsidRPr="00126673">
              <w:t xml:space="preserve"> шкалою  </w:t>
            </w:r>
            <w:r w:rsidRPr="00126673">
              <w:rPr>
                <w:lang w:val="uk-UA"/>
              </w:rPr>
              <w:t>(</w:t>
            </w:r>
            <w:r w:rsidRPr="00126673">
              <w:rPr>
                <w:rFonts w:ascii="TimesNewRomanPSMT" w:hAnsi="TimesNewRomanPSMT"/>
              </w:rPr>
              <w:t xml:space="preserve">для </w:t>
            </w:r>
            <w:proofErr w:type="spellStart"/>
            <w:r w:rsidRPr="00126673">
              <w:rPr>
                <w:rFonts w:ascii="TimesNewRomanPSMT" w:hAnsi="TimesNewRomanPSMT"/>
              </w:rPr>
              <w:t>екзамену</w:t>
            </w:r>
            <w:proofErr w:type="spellEnd"/>
            <w:r w:rsidRPr="00126673">
              <w:rPr>
                <w:rFonts w:ascii="TimesNewRomanPSMT" w:hAnsi="TimesNewRomanPSMT"/>
              </w:rPr>
              <w:t xml:space="preserve">/ </w:t>
            </w:r>
            <w:proofErr w:type="spellStart"/>
            <w:r w:rsidRPr="00126673">
              <w:rPr>
                <w:rFonts w:ascii="TimesNewRomanPSMT" w:hAnsi="TimesNewRomanPSMT"/>
              </w:rPr>
              <w:t>диференційованого</w:t>
            </w:r>
            <w:proofErr w:type="spellEnd"/>
            <w:r w:rsidRPr="00126673">
              <w:rPr>
                <w:rFonts w:ascii="TimesNewRomanPSMT" w:hAnsi="TimesNewRomanPSMT"/>
              </w:rPr>
              <w:t xml:space="preserve"> </w:t>
            </w:r>
            <w:proofErr w:type="spellStart"/>
            <w:r w:rsidRPr="00126673">
              <w:rPr>
                <w:rFonts w:ascii="TimesNewRomanPSMT" w:hAnsi="TimesNewRomanPSMT"/>
              </w:rPr>
              <w:t>заліку</w:t>
            </w:r>
            <w:proofErr w:type="spellEnd"/>
            <w:r w:rsidRPr="00126673">
              <w:rPr>
                <w:rFonts w:ascii="TimesNewRomanPSMT" w:hAnsi="TimesNewRomanPSMT"/>
                <w:lang w:val="uk-UA"/>
              </w:rPr>
              <w:t>)</w:t>
            </w:r>
          </w:p>
        </w:tc>
      </w:tr>
      <w:tr w:rsidR="006A6AD9" w:rsidRPr="00F022C6" w:rsidTr="00777107">
        <w:trPr>
          <w:trHeight w:val="680"/>
        </w:trPr>
        <w:tc>
          <w:tcPr>
            <w:tcW w:w="3686" w:type="dxa"/>
            <w:vMerge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D9" w:rsidRPr="00F022C6" w:rsidTr="00777107"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180-200</w:t>
            </w: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18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відмінно</w:t>
            </w:r>
          </w:p>
        </w:tc>
      </w:tr>
      <w:tr w:rsidR="006A6AD9" w:rsidRPr="00F022C6" w:rsidTr="00777107">
        <w:trPr>
          <w:trHeight w:val="194"/>
        </w:trPr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170-179,9</w:t>
            </w: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18" w:type="dxa"/>
            <w:vMerge w:val="restart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добре</w:t>
            </w:r>
          </w:p>
        </w:tc>
      </w:tr>
      <w:tr w:rsidR="006A6AD9" w:rsidRPr="00F022C6" w:rsidTr="00777107"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160-169,9</w:t>
            </w: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18" w:type="dxa"/>
            <w:vMerge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D9" w:rsidRPr="00F022C6" w:rsidTr="00777107"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141-159,9</w:t>
            </w: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118" w:type="dxa"/>
            <w:vMerge w:val="restart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задовільно</w:t>
            </w:r>
          </w:p>
        </w:tc>
      </w:tr>
      <w:tr w:rsidR="006A6AD9" w:rsidRPr="00F022C6" w:rsidTr="00777107"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122-140,99</w:t>
            </w: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18" w:type="dxa"/>
            <w:vMerge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D9" w:rsidRPr="00F022C6" w:rsidTr="00777107"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  <w:tc>
          <w:tcPr>
            <w:tcW w:w="3118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незадовільно з можливістю повторного складання</w:t>
            </w:r>
          </w:p>
        </w:tc>
      </w:tr>
      <w:tr w:rsidR="006A6AD9" w:rsidRPr="00E658FA" w:rsidTr="00777107">
        <w:trPr>
          <w:trHeight w:val="708"/>
        </w:trPr>
        <w:tc>
          <w:tcPr>
            <w:tcW w:w="3686" w:type="dxa"/>
            <w:vAlign w:val="center"/>
          </w:tcPr>
          <w:p w:rsidR="006A6AD9" w:rsidRPr="00126673" w:rsidRDefault="006A6AD9" w:rsidP="00777107">
            <w:pPr>
              <w:spacing w:after="30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118" w:type="dxa"/>
            <w:vAlign w:val="center"/>
          </w:tcPr>
          <w:p w:rsidR="006A6AD9" w:rsidRPr="00126673" w:rsidRDefault="006A6AD9" w:rsidP="00777107">
            <w:pPr>
              <w:spacing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3">
              <w:rPr>
                <w:rFonts w:ascii="Times New Roman" w:hAnsi="Times New Roman" w:cs="Times New Roman"/>
                <w:sz w:val="24"/>
                <w:szCs w:val="24"/>
              </w:rPr>
              <w:t>незадовільно з обов’язковим повторним вивченням дисципліни</w:t>
            </w:r>
          </w:p>
        </w:tc>
      </w:tr>
    </w:tbl>
    <w:p w:rsidR="006A6AD9" w:rsidRPr="0092713C" w:rsidRDefault="006A6AD9" w:rsidP="006A6AD9">
      <w:pPr>
        <w:spacing w:after="30" w:line="240" w:lineRule="auto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</w:p>
    <w:p w:rsidR="006A6AD9" w:rsidRPr="00A36B7C" w:rsidRDefault="006A6AD9" w:rsidP="006A6AD9">
      <w:pPr>
        <w:pStyle w:val="a4"/>
        <w:numPr>
          <w:ilvl w:val="0"/>
          <w:numId w:val="1"/>
        </w:numPr>
        <w:spacing w:after="30" w:line="240" w:lineRule="auto"/>
        <w:rPr>
          <w:rFonts w:ascii="Times New Roman" w:eastAsia="Times New Roman" w:hAnsi="Times New Roman"/>
          <w:b/>
          <w:color w:val="4472C4" w:themeColor="accent5"/>
          <w:sz w:val="24"/>
          <w:szCs w:val="24"/>
          <w:lang w:eastAsia="ru-RU"/>
        </w:rPr>
      </w:pPr>
      <w:r w:rsidRPr="00A36B7C">
        <w:rPr>
          <w:rFonts w:ascii="Times New Roman" w:eastAsia="Times New Roman" w:hAnsi="Times New Roman"/>
          <w:b/>
          <w:color w:val="4472C4" w:themeColor="accent5"/>
          <w:sz w:val="24"/>
          <w:szCs w:val="24"/>
          <w:lang w:eastAsia="ru-RU"/>
        </w:rPr>
        <w:t xml:space="preserve">МЕТОДИЧНЕ ЗАБЕЗПЕЧЕННЯ </w:t>
      </w:r>
    </w:p>
    <w:p w:rsidR="006A6AD9" w:rsidRPr="00A36B7C" w:rsidRDefault="006A6AD9" w:rsidP="006A6AD9">
      <w:pPr>
        <w:spacing w:after="3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6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Навчальний контент (конспект або розширений план лекцій), плани практичних (семінарських) занять, самостійної роботи, питання, методичні вказівки, завдання або кейси для поточного та підсумкового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онтролю знань і вмінь аспірантів</w:t>
      </w:r>
      <w:r w:rsidRPr="00A36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A6AD9" w:rsidRPr="00F022C6" w:rsidRDefault="006A6AD9" w:rsidP="006A6AD9">
      <w:pPr>
        <w:shd w:val="clear" w:color="auto" w:fill="FFFFFF"/>
        <w:tabs>
          <w:tab w:val="left" w:pos="365"/>
        </w:tabs>
        <w:spacing w:before="14"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highlight w:val="yellow"/>
        </w:rPr>
      </w:pPr>
    </w:p>
    <w:p w:rsidR="006A6AD9" w:rsidRPr="007F4DEE" w:rsidRDefault="006A6AD9" w:rsidP="006A6AD9">
      <w:pPr>
        <w:pStyle w:val="a4"/>
        <w:numPr>
          <w:ilvl w:val="0"/>
          <w:numId w:val="1"/>
        </w:numPr>
        <w:shd w:val="clear" w:color="auto" w:fill="FFFFFF"/>
        <w:tabs>
          <w:tab w:val="left" w:pos="365"/>
        </w:tabs>
        <w:spacing w:before="14" w:after="30" w:line="240" w:lineRule="auto"/>
        <w:ind w:left="714" w:hanging="357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F4DEE">
        <w:rPr>
          <w:rFonts w:ascii="Times New Roman" w:hAnsi="Times New Roman"/>
          <w:b/>
          <w:color w:val="4472C4" w:themeColor="accent5"/>
          <w:sz w:val="24"/>
          <w:szCs w:val="24"/>
        </w:rPr>
        <w:t>ПОЛІТИКИ НАВЧАЛЬНОЇ ДИСЦИПЛІНИ</w:t>
      </w:r>
    </w:p>
    <w:p w:rsidR="006A6AD9" w:rsidRPr="007F4DEE" w:rsidRDefault="006A6AD9" w:rsidP="006A6AD9">
      <w:pPr>
        <w:shd w:val="clear" w:color="auto" w:fill="FFFFFF"/>
        <w:tabs>
          <w:tab w:val="left" w:pos="365"/>
        </w:tabs>
        <w:spacing w:before="14" w:after="3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Виконання навчальних завдань і робота за дисципліною має відповідати вимогам «Кодексу академічної доброчесності та корпоративної етики ВНМУ ім. М.І. Пирогова»  (</w:t>
      </w:r>
      <w:hyperlink r:id="rId9" w:history="1">
        <w:r w:rsidRPr="007F4DEE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https://www.vnmu.edu.ua/downloads/other/kodex_akad_dobro.PDF</w:t>
        </w:r>
      </w:hyperlink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).</w:t>
      </w:r>
    </w:p>
    <w:p w:rsidR="006A6AD9" w:rsidRDefault="006A6AD9" w:rsidP="006A6AD9">
      <w:pPr>
        <w:shd w:val="clear" w:color="auto" w:fill="FFFFFF"/>
        <w:tabs>
          <w:tab w:val="left" w:pos="365"/>
        </w:tabs>
        <w:spacing w:before="14" w:after="3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Відпрацювання пропущених аудиторних занять, повторне проходження контрольних заходів, а також процедури оскарження результатів проведення контрольних заходів  здійснюються згідно «Положення про організацію освітнього процесу для здобувачів </w:t>
      </w:r>
      <w:proofErr w:type="spellStart"/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вищоі</w:t>
      </w:r>
      <w:proofErr w:type="spellEnd"/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̈ освіти ступеня доктора </w:t>
      </w:r>
      <w:proofErr w:type="spellStart"/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філософіі</w:t>
      </w:r>
      <w:proofErr w:type="spellEnd"/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̈ у Вінницькому національному медичному університеті ім. М.І. Пирогова» (</w:t>
      </w:r>
      <w:hyperlink r:id="rId10" w:history="1">
        <w:r w:rsidRPr="007F4DEE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https://www.vnmu.edu.ua/downloads/other/pologPhD_org.pdf</w:t>
        </w:r>
      </w:hyperlink>
      <w:r w:rsidRPr="007F4DE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)</w:t>
      </w:r>
    </w:p>
    <w:p w:rsidR="006A6AD9" w:rsidRPr="0092713C" w:rsidRDefault="006A6AD9" w:rsidP="006A6AD9">
      <w:pPr>
        <w:shd w:val="clear" w:color="auto" w:fill="FFFFFF"/>
        <w:tabs>
          <w:tab w:val="left" w:pos="365"/>
        </w:tabs>
        <w:spacing w:before="14" w:after="3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A6AD9" w:rsidRPr="0092713C" w:rsidRDefault="006A6AD9" w:rsidP="006A6AD9">
      <w:pPr>
        <w:pStyle w:val="a4"/>
        <w:numPr>
          <w:ilvl w:val="0"/>
          <w:numId w:val="1"/>
        </w:numPr>
        <w:shd w:val="clear" w:color="auto" w:fill="FFFFFF"/>
        <w:tabs>
          <w:tab w:val="left" w:pos="365"/>
        </w:tabs>
        <w:spacing w:after="30" w:line="240" w:lineRule="auto"/>
        <w:ind w:left="0" w:firstLine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713C">
        <w:rPr>
          <w:rFonts w:ascii="Times New Roman" w:hAnsi="Times New Roman"/>
          <w:b/>
          <w:bCs/>
          <w:color w:val="4472C4" w:themeColor="accent5"/>
          <w:sz w:val="24"/>
          <w:szCs w:val="24"/>
        </w:rPr>
        <w:t xml:space="preserve">НАВЧАЛЬНІ РЕСУРСИ  </w:t>
      </w:r>
    </w:p>
    <w:p w:rsidR="006A6AD9" w:rsidRDefault="006A6AD9" w:rsidP="006A6AD9">
      <w:pPr>
        <w:pStyle w:val="a4"/>
        <w:shd w:val="clear" w:color="auto" w:fill="FFFFFF"/>
        <w:tabs>
          <w:tab w:val="left" w:pos="365"/>
        </w:tabs>
        <w:spacing w:after="3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proofErr w:type="spellStart"/>
      <w:r w:rsidRPr="0092713C">
        <w:rPr>
          <w:rFonts w:ascii="Times New Roman" w:hAnsi="Times New Roman"/>
          <w:color w:val="000000" w:themeColor="text1"/>
          <w:sz w:val="24"/>
          <w:szCs w:val="24"/>
        </w:rPr>
        <w:t>Навчально-методичне</w:t>
      </w:r>
      <w:proofErr w:type="spellEnd"/>
      <w:r w:rsidRPr="0092713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2713C">
        <w:rPr>
          <w:rFonts w:ascii="Times New Roman" w:hAnsi="Times New Roman"/>
          <w:color w:val="000000" w:themeColor="text1"/>
          <w:sz w:val="24"/>
          <w:szCs w:val="24"/>
        </w:rPr>
        <w:t>забезпечення</w:t>
      </w:r>
      <w:proofErr w:type="spellEnd"/>
      <w:r w:rsidRPr="0092713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2713C">
        <w:rPr>
          <w:rFonts w:ascii="Times New Roman" w:hAnsi="Times New Roman"/>
          <w:color w:val="000000" w:themeColor="text1"/>
          <w:sz w:val="24"/>
          <w:szCs w:val="24"/>
        </w:rPr>
        <w:t>дисципліни</w:t>
      </w:r>
      <w:proofErr w:type="spellEnd"/>
      <w:r w:rsidRPr="0092713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2713C">
        <w:rPr>
          <w:rFonts w:ascii="Times New Roman" w:hAnsi="Times New Roman"/>
          <w:color w:val="000000" w:themeColor="text1"/>
          <w:sz w:val="24"/>
          <w:szCs w:val="24"/>
        </w:rPr>
        <w:t>оприлюднено</w:t>
      </w:r>
      <w:proofErr w:type="spellEnd"/>
      <w:r w:rsidRPr="0092713C">
        <w:rPr>
          <w:rFonts w:ascii="Times New Roman" w:hAnsi="Times New Roman"/>
          <w:color w:val="000000" w:themeColor="text1"/>
          <w:sz w:val="24"/>
          <w:szCs w:val="24"/>
        </w:rPr>
        <w:t xml:space="preserve"> на</w:t>
      </w:r>
      <w:r w:rsidRPr="0092713C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сайт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ах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кафедр</w:t>
      </w:r>
      <w:r w:rsidRPr="0092713C">
        <w:rPr>
          <w:rFonts w:ascii="Times New Roman" w:hAnsi="Times New Roman"/>
          <w:color w:val="000000" w:themeColor="text1"/>
          <w:sz w:val="24"/>
          <w:szCs w:val="24"/>
        </w:rPr>
        <w:t xml:space="preserve">. Маршрут </w:t>
      </w:r>
      <w:proofErr w:type="spellStart"/>
      <w:r w:rsidRPr="0092713C">
        <w:rPr>
          <w:rFonts w:ascii="Times New Roman" w:hAnsi="Times New Roman"/>
          <w:color w:val="000000" w:themeColor="text1"/>
          <w:sz w:val="24"/>
          <w:szCs w:val="24"/>
        </w:rPr>
        <w:t>отримання</w:t>
      </w:r>
      <w:proofErr w:type="spellEnd"/>
      <w:r w:rsidRPr="0092713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92713C">
        <w:rPr>
          <w:rFonts w:ascii="Times New Roman" w:hAnsi="Times New Roman"/>
          <w:color w:val="000000" w:themeColor="text1"/>
          <w:sz w:val="24"/>
          <w:szCs w:val="24"/>
        </w:rPr>
        <w:t>матеріалів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:</w:t>
      </w:r>
    </w:p>
    <w:p w:rsidR="006A6AD9" w:rsidRDefault="00EA12BE" w:rsidP="006A6AD9">
      <w:pPr>
        <w:pStyle w:val="a4"/>
        <w:numPr>
          <w:ilvl w:val="0"/>
          <w:numId w:val="8"/>
        </w:numPr>
        <w:shd w:val="clear" w:color="auto" w:fill="FFFFFF"/>
        <w:tabs>
          <w:tab w:val="left" w:pos="365"/>
        </w:tabs>
        <w:spacing w:after="3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1" w:history="1">
        <w:r w:rsidR="006A6AD9" w:rsidRPr="003B1CD6">
          <w:rPr>
            <w:rStyle w:val="a3"/>
            <w:rFonts w:ascii="Times New Roman" w:hAnsi="Times New Roman"/>
            <w:sz w:val="24"/>
            <w:szCs w:val="24"/>
          </w:rPr>
          <w:t>https://www.vnmu.edu.ua/</w:t>
        </w:r>
      </w:hyperlink>
      <w:r w:rsidR="006A6AD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 xml:space="preserve">кафедра </w:t>
      </w:r>
      <w:proofErr w:type="spellStart"/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>педіатрії</w:t>
      </w:r>
      <w:proofErr w:type="spellEnd"/>
      <w:r w:rsidR="006A6AD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6A6AD9" w:rsidRPr="00BC2EC1">
        <w:rPr>
          <w:rFonts w:ascii="Times New Roman" w:hAnsi="Times New Roman"/>
          <w:color w:val="000000" w:themeColor="text1"/>
          <w:sz w:val="24"/>
          <w:szCs w:val="24"/>
          <w:lang w:val="uk-UA"/>
        </w:rPr>
        <w:t>№1</w:t>
      </w:r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>аспіранту</w:t>
      </w:r>
      <w:proofErr w:type="spellEnd"/>
    </w:p>
    <w:p w:rsidR="006A6AD9" w:rsidRDefault="00EA12BE" w:rsidP="006A6AD9">
      <w:pPr>
        <w:pStyle w:val="a4"/>
        <w:numPr>
          <w:ilvl w:val="0"/>
          <w:numId w:val="8"/>
        </w:numPr>
        <w:shd w:val="clear" w:color="auto" w:fill="FFFFFF"/>
        <w:tabs>
          <w:tab w:val="left" w:pos="365"/>
        </w:tabs>
        <w:spacing w:after="3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2" w:history="1">
        <w:r w:rsidR="006A6AD9" w:rsidRPr="003B1CD6">
          <w:rPr>
            <w:rStyle w:val="a3"/>
            <w:rFonts w:ascii="Times New Roman" w:hAnsi="Times New Roman"/>
            <w:sz w:val="24"/>
            <w:szCs w:val="24"/>
          </w:rPr>
          <w:t>https://www.vnmu.edu.ua/</w:t>
        </w:r>
      </w:hyperlink>
      <w:r w:rsidR="006A6AD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 xml:space="preserve">кафедра </w:t>
      </w:r>
      <w:proofErr w:type="spellStart"/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>педіатрії</w:t>
      </w:r>
      <w:proofErr w:type="spellEnd"/>
      <w:r w:rsidR="006A6AD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№2</w:t>
      </w:r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="006A6AD9" w:rsidRPr="00BC2EC1">
        <w:rPr>
          <w:rFonts w:ascii="Times New Roman" w:hAnsi="Times New Roman"/>
          <w:color w:val="000000" w:themeColor="text1"/>
          <w:sz w:val="24"/>
          <w:szCs w:val="24"/>
        </w:rPr>
        <w:t>аспіранту</w:t>
      </w:r>
      <w:proofErr w:type="spellEnd"/>
    </w:p>
    <w:p w:rsidR="006A6AD9" w:rsidRPr="00925992" w:rsidRDefault="00EA12BE" w:rsidP="006A6AD9">
      <w:pPr>
        <w:pStyle w:val="a4"/>
        <w:numPr>
          <w:ilvl w:val="0"/>
          <w:numId w:val="8"/>
        </w:numPr>
        <w:shd w:val="clear" w:color="auto" w:fill="FFFFFF"/>
        <w:tabs>
          <w:tab w:val="left" w:pos="365"/>
        </w:tabs>
        <w:spacing w:after="3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6A6AD9" w:rsidRPr="003B1CD6">
          <w:rPr>
            <w:rStyle w:val="a3"/>
            <w:rFonts w:ascii="Times New Roman" w:hAnsi="Times New Roman"/>
            <w:sz w:val="24"/>
            <w:szCs w:val="24"/>
          </w:rPr>
          <w:t>https://www.vnmu.edu.ua/</w:t>
        </w:r>
      </w:hyperlink>
      <w:r w:rsidR="006A6AD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6A6AD9" w:rsidRPr="00925992">
        <w:rPr>
          <w:rFonts w:ascii="Times New Roman" w:hAnsi="Times New Roman"/>
          <w:sz w:val="24"/>
          <w:szCs w:val="24"/>
        </w:rPr>
        <w:t xml:space="preserve">кафедра </w:t>
      </w:r>
      <w:hyperlink r:id="rId14" w:history="1"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пропедевтики </w:t>
        </w:r>
        <w:proofErr w:type="spellStart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дитячих</w:t>
        </w:r>
        <w:proofErr w:type="spellEnd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захворювань</w:t>
        </w:r>
        <w:proofErr w:type="spellEnd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та догляду за </w:t>
        </w:r>
        <w:proofErr w:type="spellStart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хворими</w:t>
        </w:r>
        <w:proofErr w:type="spellEnd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6A6AD9" w:rsidRPr="00925992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дітьми</w:t>
        </w:r>
        <w:proofErr w:type="spellEnd"/>
      </w:hyperlink>
      <w:r w:rsidR="006A6AD9" w:rsidRPr="00925992">
        <w:rPr>
          <w:rFonts w:ascii="Times New Roman" w:hAnsi="Times New Roman"/>
          <w:sz w:val="24"/>
          <w:szCs w:val="24"/>
        </w:rPr>
        <w:t>/</w:t>
      </w:r>
      <w:proofErr w:type="spellStart"/>
      <w:r w:rsidR="006A6AD9" w:rsidRPr="00925992">
        <w:rPr>
          <w:rFonts w:ascii="Times New Roman" w:hAnsi="Times New Roman"/>
          <w:sz w:val="24"/>
          <w:szCs w:val="24"/>
        </w:rPr>
        <w:t>аспіранту</w:t>
      </w:r>
      <w:proofErr w:type="spellEnd"/>
    </w:p>
    <w:p w:rsidR="006A6AD9" w:rsidRPr="0092713C" w:rsidRDefault="006A6AD9" w:rsidP="006A6AD9">
      <w:pPr>
        <w:spacing w:after="3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D9" w:rsidRDefault="006A6AD9" w:rsidP="006A6AD9">
      <w:pPr>
        <w:spacing w:after="3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     </w:t>
      </w: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ЛІТЕРАТУРА</w:t>
      </w:r>
    </w:p>
    <w:p w:rsidR="006A6AD9" w:rsidRPr="009A1B6A" w:rsidRDefault="006A6AD9" w:rsidP="006A6AD9">
      <w:pPr>
        <w:tabs>
          <w:tab w:val="left" w:pos="426"/>
          <w:tab w:val="left" w:pos="567"/>
        </w:tabs>
        <w:spacing w:after="30" w:line="20" w:lineRule="atLeast"/>
        <w:ind w:left="426" w:hanging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A1B6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Базова</w:t>
      </w:r>
    </w:p>
    <w:p w:rsidR="006A6AD9" w:rsidRPr="004B34CA" w:rsidRDefault="006A6AD9" w:rsidP="006A6AD9">
      <w:pPr>
        <w:widowControl w:val="0"/>
        <w:numPr>
          <w:ilvl w:val="0"/>
          <w:numId w:val="4"/>
        </w:numPr>
        <w:shd w:val="clear" w:color="auto" w:fill="FFFFFF"/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Основи педіатрії за Нельсоном: у 2 томах. /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Карен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Дж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Маркданте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, Роберт М.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Клігман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; переклад 8-го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англ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. Видання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2019. –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1 -378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 – 426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</w:p>
    <w:p w:rsidR="006A6AD9" w:rsidRPr="004B34CA" w:rsidRDefault="006A6AD9" w:rsidP="006A6AD9">
      <w:pPr>
        <w:numPr>
          <w:ilvl w:val="0"/>
          <w:numId w:val="4"/>
        </w:numPr>
        <w:shd w:val="clear" w:color="auto" w:fill="FFFFFF"/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B34CA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Диференційна діагностика найбільш поширених захворювань дитячого віку. Навчальний посібник з педіатрії. За редакцією Дудник В.М. – Вінниця. – 2 вид. «ТВОРИ», 2019. – 675с. </w:t>
      </w:r>
      <w:r w:rsidRPr="004B34CA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lastRenderedPageBreak/>
        <w:t xml:space="preserve">Затвердження: ДУ Центральний методичний кабінет з вищої медичної освіти МОЗ України як навчальний посібник для студентів вищих навчальних закладів МОЗ України (протокол засідання Комісії №4 від 16.12.2016 р.) та Вченою радою ВНМУ імені </w:t>
      </w:r>
      <w:proofErr w:type="spellStart"/>
      <w:r w:rsidRPr="004B34CA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>М.І.Пирогова</w:t>
      </w:r>
      <w:proofErr w:type="spellEnd"/>
      <w:r w:rsidRPr="004B34CA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 (протокол засідання Вченої ради №10 від 28.04.2016 р.).</w:t>
      </w:r>
    </w:p>
    <w:p w:rsidR="006A6AD9" w:rsidRPr="004B34CA" w:rsidRDefault="006A6AD9" w:rsidP="006A6AD9">
      <w:pPr>
        <w:widowControl w:val="0"/>
        <w:numPr>
          <w:ilvl w:val="0"/>
          <w:numId w:val="4"/>
        </w:numPr>
        <w:tabs>
          <w:tab w:val="left" w:pos="567"/>
        </w:tabs>
        <w:spacing w:after="30" w:line="240" w:lineRule="auto"/>
        <w:ind w:left="567" w:hanging="425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Nelson textbook 20</w:t>
      </w:r>
      <w:r w:rsidRPr="004B34CA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th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Edition 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by Robert M.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Kliegman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MD, Richard E. Behrman, MD, Hal B. Jenson, MD and Bonita F. Stanton, MD. 2018.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Видавництво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: SAUNDERS</w:t>
      </w:r>
    </w:p>
    <w:p w:rsidR="006A6AD9" w:rsidRPr="004B34CA" w:rsidRDefault="006A6AD9" w:rsidP="006A6AD9">
      <w:pPr>
        <w:widowControl w:val="0"/>
        <w:numPr>
          <w:ilvl w:val="0"/>
          <w:numId w:val="4"/>
        </w:numPr>
        <w:tabs>
          <w:tab w:val="left" w:pos="567"/>
        </w:tabs>
        <w:spacing w:after="30" w:line="240" w:lineRule="auto"/>
        <w:ind w:left="567" w:hanging="425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Robert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Kliegman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Joseph St.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Geme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>Nelson</w:t>
      </w:r>
      <w:proofErr w:type="spellEnd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>Textbook</w:t>
      </w:r>
      <w:proofErr w:type="spellEnd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>of</w:t>
      </w:r>
      <w:proofErr w:type="spellEnd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>Pediatrics</w:t>
      </w:r>
      <w:proofErr w:type="spellEnd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 xml:space="preserve">, 2-Volume </w:t>
      </w:r>
      <w:proofErr w:type="spellStart"/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>Set</w:t>
      </w:r>
      <w:proofErr w:type="spellEnd"/>
      <w:r w:rsidRPr="004B34CA">
        <w:rPr>
          <w:rFonts w:ascii="Times New Roman" w:eastAsia="Times New Roman" w:hAnsi="Times New Roman"/>
          <w:kern w:val="36"/>
          <w:sz w:val="24"/>
          <w:szCs w:val="24"/>
          <w:lang w:val="en-US" w:eastAsia="uk-UA"/>
        </w:rPr>
        <w:t xml:space="preserve">. </w:t>
      </w:r>
      <w:r w:rsidRPr="004B34CA">
        <w:rPr>
          <w:rFonts w:ascii="Times New Roman" w:eastAsia="Times New Roman" w:hAnsi="Times New Roman"/>
          <w:sz w:val="24"/>
          <w:szCs w:val="24"/>
          <w:lang w:eastAsia="uk-UA"/>
        </w:rPr>
        <w:t xml:space="preserve">21st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uk-UA"/>
        </w:rPr>
        <w:t>Edition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. 2019.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</w:rPr>
        <w:t>Elsevier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 4264 p.</w:t>
      </w:r>
    </w:p>
    <w:p w:rsidR="006A6AD9" w:rsidRPr="009A1B6A" w:rsidRDefault="006A6AD9" w:rsidP="006A6AD9">
      <w:pPr>
        <w:shd w:val="clear" w:color="auto" w:fill="FFFFFF"/>
        <w:tabs>
          <w:tab w:val="left" w:pos="426"/>
          <w:tab w:val="left" w:pos="567"/>
        </w:tabs>
        <w:spacing w:after="30" w:line="20" w:lineRule="atLeast"/>
        <w:ind w:left="426" w:hanging="426"/>
        <w:jc w:val="both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</w:p>
    <w:p w:rsidR="006A6AD9" w:rsidRPr="009A1B6A" w:rsidRDefault="006A6AD9" w:rsidP="006A6AD9">
      <w:pPr>
        <w:shd w:val="clear" w:color="auto" w:fill="FFFFFF"/>
        <w:tabs>
          <w:tab w:val="left" w:pos="426"/>
          <w:tab w:val="left" w:pos="567"/>
        </w:tabs>
        <w:spacing w:after="30" w:line="20" w:lineRule="atLeast"/>
        <w:ind w:left="426" w:hanging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1B6A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Допоміжна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Захворювання дитячого віку. За ред.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О.С.Яблонь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. «Видавництво «Тезис», 2018. – 256 с.(затверджено Вченою радою ВНМУ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ім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І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Пирогова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2018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.)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Acute Exacerbations of Pulmonary Diseases/ Pierre-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Régis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Burgel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Marco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Contoli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José Luis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López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-Campos/ 2017/ERS Monograph/p. 224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Хвороби системи крові та ендокринної системи у дітей (5-е видання) / Дудник В.М.,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Мантак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 Г.І.,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Андрікевич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 І.І. (2018).  — Вінниця. – 387 с. Затвердження: Центральний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методком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 з вищої медичної освіти МОЗ України як навчальний посібник для студентів вищих медичних навчальних закладів 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IV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 xml:space="preserve"> рівня акредитації (протокол №2 від 26.10.2011 р.), засідання науково-методичної Комісії з медицини Міністерства освіти і науки, молоді та спорту України) та Вченою радою ВНМУ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імені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І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Пирогова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протокол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№8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від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31.05.2011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.).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hAnsi="Times New Roman"/>
          <w:iCs/>
          <w:sz w:val="24"/>
          <w:szCs w:val="24"/>
        </w:rPr>
        <w:t xml:space="preserve">Клінічні рекомендації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EAU</w:t>
      </w:r>
      <w:r w:rsidRPr="004B34CA">
        <w:rPr>
          <w:rFonts w:ascii="Times New Roman" w:hAnsi="Times New Roman"/>
          <w:iCs/>
          <w:sz w:val="24"/>
          <w:szCs w:val="24"/>
        </w:rPr>
        <w:t xml:space="preserve"> (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European</w:t>
      </w:r>
      <w:r w:rsidRPr="004B34CA">
        <w:rPr>
          <w:rFonts w:ascii="Times New Roman" w:hAnsi="Times New Roman"/>
          <w:iCs/>
          <w:sz w:val="24"/>
          <w:szCs w:val="24"/>
        </w:rPr>
        <w:t xml:space="preserve">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Urology</w:t>
      </w:r>
      <w:r w:rsidRPr="004B34CA">
        <w:rPr>
          <w:rFonts w:ascii="Times New Roman" w:hAnsi="Times New Roman"/>
          <w:iCs/>
          <w:sz w:val="24"/>
          <w:szCs w:val="24"/>
        </w:rPr>
        <w:t xml:space="preserve">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Association</w:t>
      </w:r>
      <w:r w:rsidRPr="004B34CA">
        <w:rPr>
          <w:rFonts w:ascii="Times New Roman" w:hAnsi="Times New Roman"/>
          <w:iCs/>
          <w:sz w:val="24"/>
          <w:szCs w:val="24"/>
        </w:rPr>
        <w:t xml:space="preserve">, 2015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Guidelines</w:t>
      </w:r>
      <w:r w:rsidRPr="004B34CA">
        <w:rPr>
          <w:rFonts w:ascii="Times New Roman" w:hAnsi="Times New Roman"/>
          <w:iCs/>
          <w:sz w:val="24"/>
          <w:szCs w:val="24"/>
        </w:rPr>
        <w:t xml:space="preserve">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on</w:t>
      </w:r>
      <w:r w:rsidRPr="004B34CA">
        <w:rPr>
          <w:rFonts w:ascii="Times New Roman" w:hAnsi="Times New Roman"/>
          <w:iCs/>
          <w:sz w:val="24"/>
          <w:szCs w:val="24"/>
        </w:rPr>
        <w:t xml:space="preserve">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Urological</w:t>
      </w:r>
      <w:r w:rsidRPr="004B34CA">
        <w:rPr>
          <w:rFonts w:ascii="Times New Roman" w:hAnsi="Times New Roman"/>
          <w:iCs/>
          <w:sz w:val="24"/>
          <w:szCs w:val="24"/>
        </w:rPr>
        <w:t xml:space="preserve">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Infections</w:t>
      </w:r>
      <w:r w:rsidRPr="004B34CA">
        <w:rPr>
          <w:rFonts w:ascii="Times New Roman" w:hAnsi="Times New Roman"/>
          <w:iCs/>
          <w:sz w:val="24"/>
          <w:szCs w:val="24"/>
        </w:rPr>
        <w:t xml:space="preserve">,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Updates</w:t>
      </w:r>
      <w:r w:rsidRPr="004B34CA">
        <w:rPr>
          <w:rFonts w:ascii="Times New Roman" w:hAnsi="Times New Roman"/>
          <w:iCs/>
          <w:sz w:val="24"/>
          <w:szCs w:val="24"/>
        </w:rPr>
        <w:t xml:space="preserve"> 201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9</w:t>
      </w:r>
      <w:r w:rsidRPr="004B34CA">
        <w:rPr>
          <w:rFonts w:ascii="Times New Roman" w:hAnsi="Times New Roman"/>
          <w:iCs/>
          <w:sz w:val="24"/>
          <w:szCs w:val="24"/>
        </w:rPr>
        <w:t>)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hyperlink r:id="rId15" w:tgtFrame="_blank" w:history="1">
        <w:r w:rsidRPr="004B34CA">
          <w:rPr>
            <w:rFonts w:ascii="Times New Roman" w:hAnsi="Times New Roman"/>
            <w:sz w:val="24"/>
            <w:szCs w:val="24"/>
            <w:bdr w:val="none" w:sz="0" w:space="0" w:color="auto" w:frame="1"/>
            <w:lang w:val="en-US"/>
          </w:rPr>
          <w:t>http://uroweb.org/guideline/paediatric-urology/</w:t>
        </w:r>
      </w:hyperlink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hAnsi="Times New Roman"/>
          <w:sz w:val="24"/>
          <w:szCs w:val="24"/>
          <w:lang w:val="en-US" w:eastAsia="uk-UA"/>
        </w:rPr>
        <w:t>Adam J. Shapiro et al. Diagnosis of Primary Ciliary Dyskinesia An Ofﬁcial American Thoracic Society Clinical Practice Guideline.,</w:t>
      </w:r>
      <w:r w:rsidRPr="004B34CA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Am J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Respir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Crit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Care Med Vol 197,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Iss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12, pp e24–e39, Jun 15, 2018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Acute Exacerbations of Pulmonary Diseases</w:t>
      </w:r>
      <w:r w:rsidRPr="004B34CA">
        <w:rPr>
          <w:rFonts w:ascii="Times New Roman" w:eastAsia="Times New Roman" w:hAnsi="Times New Roman"/>
          <w:sz w:val="24"/>
          <w:szCs w:val="24"/>
          <w:lang w:eastAsia="uk-UA"/>
        </w:rPr>
        <w:t xml:space="preserve">. 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Pierre-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Régis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Burgel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Marco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Contoli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José Luis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López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-Campos</w:t>
      </w:r>
      <w:r w:rsidRPr="004B34CA">
        <w:rPr>
          <w:rFonts w:ascii="Times New Roman" w:eastAsia="Times New Roman" w:hAnsi="Times New Roman"/>
          <w:sz w:val="24"/>
          <w:szCs w:val="24"/>
          <w:lang w:eastAsia="uk-UA"/>
        </w:rPr>
        <w:t>.,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ERS Monograph</w:t>
      </w:r>
      <w:r w:rsidRPr="004B34CA">
        <w:rPr>
          <w:rFonts w:ascii="Times New Roman" w:eastAsia="Times New Roman" w:hAnsi="Times New Roman"/>
          <w:sz w:val="24"/>
          <w:szCs w:val="24"/>
          <w:lang w:eastAsia="uk-UA"/>
        </w:rPr>
        <w:t xml:space="preserve">, 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2017</w:t>
      </w:r>
      <w:r w:rsidRPr="004B34CA">
        <w:rPr>
          <w:rFonts w:ascii="Times New Roman" w:eastAsia="Times New Roman" w:hAnsi="Times New Roman"/>
          <w:sz w:val="24"/>
          <w:szCs w:val="24"/>
          <w:lang w:eastAsia="uk-UA"/>
        </w:rPr>
        <w:t xml:space="preserve">, 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p. 224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Allen Hugh D. et al. Moss &amp; Adams Heart Disease in Infants, Children and Adolescents  </w:t>
      </w: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 9th. ed. — Wolters Kluwer, 2016. — 3438 p. 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Allergies and Adolescents. Transitioning Towards Independent Living/ </w:t>
      </w:r>
      <w:hyperlink r:id="rId16" w:history="1">
        <w:r w:rsidRPr="004B34CA">
          <w:rPr>
            <w:rFonts w:ascii="Times New Roman" w:eastAsia="Times New Roman" w:hAnsi="Times New Roman"/>
            <w:sz w:val="24"/>
            <w:szCs w:val="24"/>
            <w:lang w:val="en-US" w:eastAsia="ru-RU"/>
          </w:rPr>
          <w:t xml:space="preserve">David R. </w:t>
        </w:r>
        <w:proofErr w:type="spellStart"/>
        <w:r w:rsidRPr="004B34CA">
          <w:rPr>
            <w:rFonts w:ascii="Times New Roman" w:eastAsia="Times New Roman" w:hAnsi="Times New Roman"/>
            <w:sz w:val="24"/>
            <w:szCs w:val="24"/>
            <w:lang w:val="en-US" w:eastAsia="ru-RU"/>
          </w:rPr>
          <w:t>Stukus</w:t>
        </w:r>
        <w:proofErr w:type="spellEnd"/>
      </w:hyperlink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/ 2018/Springer/253p.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American Diabetes Association's Standards of Medical Care in Diabetes — 2018. Diabetes Care. 2018;41(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Suppl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1):S1-S159</w:t>
      </w:r>
    </w:p>
    <w:p w:rsidR="006A6AD9" w:rsidRPr="004B34CA" w:rsidRDefault="00EA12BE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hyperlink r:id="rId17" w:tgtFrame="_blank" w:history="1">
        <w:r w:rsidR="006A6AD9" w:rsidRPr="004B34CA">
          <w:rPr>
            <w:rFonts w:ascii="Times New Roman" w:hAnsi="Times New Roman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American Thyroid Association Statement on Postoperative Hypoparathyroidism: Diagnosis, Prevention, and Management in Adults</w:t>
        </w:r>
      </w:hyperlink>
      <w:r w:rsidR="006A6AD9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Lisa A. </w:t>
      </w:r>
      <w:proofErr w:type="spellStart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Orloff</w:t>
      </w:r>
      <w:proofErr w:type="spellEnd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, </w:t>
      </w:r>
      <w:r w:rsidR="006A6AD9" w:rsidRPr="004B34CA"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val="en-US"/>
        </w:rPr>
        <w:t>et al., 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THYROID Volume 28, Number 7, 2018. </w:t>
      </w:r>
      <w:proofErr w:type="spellStart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doi</w:t>
      </w:r>
      <w:proofErr w:type="spellEnd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: 10.1089/thy.2017.0309</w:t>
      </w:r>
      <w:r w:rsidR="006A6AD9" w:rsidRPr="004B34CA">
        <w:rPr>
          <w:rFonts w:ascii="Times New Roman" w:hAnsi="Times New Roman"/>
          <w:caps/>
          <w:sz w:val="24"/>
          <w:szCs w:val="24"/>
        </w:rPr>
        <w:t xml:space="preserve"> 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proofErr w:type="spellStart"/>
      <w:r w:rsidRPr="004B34CA">
        <w:rPr>
          <w:rFonts w:ascii="Times New Roman" w:hAnsi="Times New Roman"/>
          <w:sz w:val="24"/>
          <w:szCs w:val="24"/>
        </w:rPr>
        <w:t>Arlt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W &amp; </w:t>
      </w:r>
      <w:proofErr w:type="spellStart"/>
      <w:r w:rsidRPr="004B34CA">
        <w:rPr>
          <w:rFonts w:ascii="Times New Roman" w:hAnsi="Times New Roman"/>
          <w:sz w:val="24"/>
          <w:szCs w:val="24"/>
        </w:rPr>
        <w:t>The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Society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for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Endocrinology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Clinical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Committee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Society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for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Endocrinology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Endocrine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Emergency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Guidance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Emergency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management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of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acute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adrenal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insufficiency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B34CA">
        <w:rPr>
          <w:rFonts w:ascii="Times New Roman" w:hAnsi="Times New Roman"/>
          <w:sz w:val="24"/>
          <w:szCs w:val="24"/>
        </w:rPr>
        <w:t>adrenal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crisis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4B34CA">
        <w:rPr>
          <w:rFonts w:ascii="Times New Roman" w:hAnsi="Times New Roman"/>
          <w:sz w:val="24"/>
          <w:szCs w:val="24"/>
        </w:rPr>
        <w:t>in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adult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patients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Endocrine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Connections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2016 5 G1–G3. (</w:t>
      </w:r>
      <w:hyperlink r:id="rId18" w:history="1">
        <w:r w:rsidRPr="004B34CA">
          <w:rPr>
            <w:rFonts w:ascii="Times New Roman" w:hAnsi="Times New Roman"/>
            <w:sz w:val="24"/>
            <w:szCs w:val="24"/>
          </w:rPr>
          <w:t>https://doi</w:t>
        </w:r>
      </w:hyperlink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org</w:t>
      </w:r>
      <w:proofErr w:type="spellEnd"/>
      <w:r w:rsidRPr="004B34CA">
        <w:rPr>
          <w:rFonts w:ascii="Times New Roman" w:hAnsi="Times New Roman"/>
          <w:sz w:val="24"/>
          <w:szCs w:val="24"/>
        </w:rPr>
        <w:t>/10.1530/EC-16-0054)</w:t>
      </w:r>
    </w:p>
    <w:p w:rsidR="006A6AD9" w:rsidRPr="004B34CA" w:rsidRDefault="00EA12BE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hyperlink r:id="rId19" w:history="1">
        <w:r w:rsidR="006A6AD9" w:rsidRPr="004B34CA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Anthony J. et al. (Eds.) Heart Failure in the Child and Young Adult: From Bench to Bedside</w:t>
        </w:r>
      </w:hyperlink>
      <w:r w:rsidR="006A6AD9"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6A6AD9" w:rsidRPr="004B34CA">
        <w:rPr>
          <w:rFonts w:ascii="Times New Roman" w:eastAsia="Times New Roman" w:hAnsi="Times New Roman"/>
          <w:sz w:val="24"/>
          <w:szCs w:val="24"/>
          <w:shd w:val="clear" w:color="auto" w:fill="F4FAFF"/>
          <w:lang w:val="en-US" w:eastAsia="ru-RU"/>
        </w:rPr>
        <w:t xml:space="preserve"> </w:t>
      </w:r>
      <w:r w:rsidR="006A6AD9"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Academic Press, 2018. — 789 p.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proofErr w:type="spellStart"/>
      <w:r w:rsidRPr="004B34CA">
        <w:rPr>
          <w:rFonts w:ascii="Times New Roman" w:hAnsi="Times New Roman"/>
          <w:sz w:val="24"/>
          <w:szCs w:val="24"/>
        </w:rPr>
        <w:t>Baldeweg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S.E.; </w:t>
      </w:r>
      <w:proofErr w:type="spellStart"/>
      <w:r w:rsidRPr="004B34CA">
        <w:rPr>
          <w:rFonts w:ascii="Times New Roman" w:hAnsi="Times New Roman"/>
          <w:sz w:val="24"/>
          <w:szCs w:val="24"/>
        </w:rPr>
        <w:t>Ball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S.; </w:t>
      </w:r>
      <w:proofErr w:type="spellStart"/>
      <w:r w:rsidRPr="004B34CA">
        <w:rPr>
          <w:rFonts w:ascii="Times New Roman" w:hAnsi="Times New Roman"/>
          <w:sz w:val="24"/>
          <w:szCs w:val="24"/>
        </w:rPr>
        <w:t>Brooke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A.; </w:t>
      </w:r>
      <w:proofErr w:type="spellStart"/>
      <w:r w:rsidRPr="004B34CA">
        <w:rPr>
          <w:rFonts w:ascii="Times New Roman" w:hAnsi="Times New Roman"/>
          <w:sz w:val="24"/>
          <w:szCs w:val="24"/>
        </w:rPr>
        <w:t>Gleeson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H.K.; </w:t>
      </w:r>
      <w:proofErr w:type="spellStart"/>
      <w:r w:rsidRPr="004B34CA">
        <w:rPr>
          <w:rFonts w:ascii="Times New Roman" w:hAnsi="Times New Roman"/>
          <w:sz w:val="24"/>
          <w:szCs w:val="24"/>
        </w:rPr>
        <w:t>Levy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M.J.; </w:t>
      </w:r>
      <w:proofErr w:type="spellStart"/>
      <w:r w:rsidRPr="004B34CA">
        <w:rPr>
          <w:rFonts w:ascii="Times New Roman" w:hAnsi="Times New Roman"/>
          <w:sz w:val="24"/>
          <w:szCs w:val="24"/>
        </w:rPr>
        <w:t>Prentice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M.; </w:t>
      </w:r>
      <w:proofErr w:type="spellStart"/>
      <w:r w:rsidRPr="004B34CA">
        <w:rPr>
          <w:rFonts w:ascii="Times New Roman" w:hAnsi="Times New Roman"/>
          <w:sz w:val="24"/>
          <w:szCs w:val="24"/>
        </w:rPr>
        <w:t>Wass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, J.; </w:t>
      </w:r>
      <w:proofErr w:type="spellStart"/>
      <w:r w:rsidRPr="004B34CA">
        <w:rPr>
          <w:rFonts w:ascii="Times New Roman" w:hAnsi="Times New Roman"/>
          <w:sz w:val="24"/>
          <w:szCs w:val="24"/>
        </w:rPr>
        <w:t>Society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for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Endocrinology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Clinical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Committee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Society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For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Endocrinology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Clinical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Guidance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B34CA">
        <w:rPr>
          <w:rFonts w:ascii="Times New Roman" w:hAnsi="Times New Roman"/>
          <w:sz w:val="24"/>
          <w:szCs w:val="24"/>
        </w:rPr>
        <w:t>Inpatient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management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of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cranial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diabetes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insipidus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Endocr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Connect</w:t>
      </w:r>
      <w:proofErr w:type="spellEnd"/>
      <w:r w:rsidRPr="004B34CA">
        <w:rPr>
          <w:rFonts w:ascii="Times New Roman" w:hAnsi="Times New Roman"/>
          <w:sz w:val="24"/>
          <w:szCs w:val="24"/>
        </w:rPr>
        <w:t>. 2018, 7, G8–G11.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Benign Hematologic Disorders in Children. Edited by Michel U. Callaghan. Volume 65, Issue 3, P. 407</w:t>
      </w:r>
      <w:r w:rsidRPr="004B34CA">
        <w:rPr>
          <w:rFonts w:ascii="Times New Roman" w:hAnsi="Times New Roman"/>
          <w:sz w:val="24"/>
          <w:szCs w:val="24"/>
        </w:rPr>
        <w:t>—</w:t>
      </w:r>
      <w:r w:rsidRPr="004B34CA">
        <w:rPr>
          <w:rFonts w:ascii="Times New Roman" w:hAnsi="Times New Roman"/>
          <w:sz w:val="24"/>
          <w:szCs w:val="24"/>
          <w:lang w:val="en-US"/>
        </w:rPr>
        <w:t>622. 2018.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Bhasin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S et al. Testosterone therapy in men with hypogonadism: an Endocrine Society Clinical Practice Guideline. J.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Clin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Endocrinol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Metab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103, 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2018, р.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1715–1744.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Bickley, Lynn S. Bates’ pocket guide to physical examination and history taking / Lynn S. Bickley, Peter G.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Szilagyi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. — 7th ed. 2018.</w:t>
      </w:r>
    </w:p>
    <w:p w:rsidR="006A6AD9" w:rsidRPr="004B34CA" w:rsidRDefault="006A6AD9" w:rsidP="006A6AD9">
      <w:pPr>
        <w:numPr>
          <w:ilvl w:val="0"/>
          <w:numId w:val="3"/>
        </w:numPr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Bornstein, S. R.,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Allolio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B.,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Arlt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W.,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Barthel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, A., Don-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Wauchope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A., Hammer, G. D.,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Husebye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E. S.,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Merke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D. P., Murad, M. H.,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Stratakis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C. A., &amp;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Torpy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D. J. Diagnosis and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lastRenderedPageBreak/>
        <w:t>treatment of Primary Adrenal Insufficiency: an Endocrine Society Clinical Practice Guideline. 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J </w:t>
      </w:r>
      <w:proofErr w:type="spellStart"/>
      <w:r w:rsidRPr="004B34CA">
        <w:rPr>
          <w:rFonts w:ascii="Times New Roman" w:hAnsi="Times New Roman"/>
          <w:iCs/>
          <w:sz w:val="24"/>
          <w:szCs w:val="24"/>
          <w:lang w:val="en-US"/>
        </w:rPr>
        <w:t>Clin</w:t>
      </w:r>
      <w:proofErr w:type="spellEnd"/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iCs/>
          <w:sz w:val="24"/>
          <w:szCs w:val="24"/>
          <w:lang w:val="en-US"/>
        </w:rPr>
        <w:t>Endocrinol</w:t>
      </w:r>
      <w:proofErr w:type="spellEnd"/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iCs/>
          <w:sz w:val="24"/>
          <w:szCs w:val="24"/>
          <w:lang w:val="en-US"/>
        </w:rPr>
        <w:t>Metab</w:t>
      </w:r>
      <w:proofErr w:type="spellEnd"/>
      <w:r w:rsidRPr="004B34CA">
        <w:rPr>
          <w:rFonts w:ascii="Times New Roman" w:hAnsi="Times New Roman"/>
          <w:iCs/>
          <w:sz w:val="24"/>
          <w:szCs w:val="24"/>
          <w:lang w:val="en-US"/>
        </w:rPr>
        <w:t>, 101(2), </w:t>
      </w:r>
      <w:r w:rsidRPr="004B34CA">
        <w:rPr>
          <w:rFonts w:ascii="Times New Roman" w:hAnsi="Times New Roman"/>
          <w:iCs/>
          <w:sz w:val="24"/>
          <w:szCs w:val="24"/>
        </w:rPr>
        <w:t xml:space="preserve">2016.,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pp. 364-389.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567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Brian E. L. Perspective: An easier diagnosis // </w:t>
      </w:r>
      <w:proofErr w:type="gram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Nature.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2016.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533.</w:t>
      </w:r>
      <w:r w:rsidRPr="004B34CA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P. 107.</w:t>
      </w:r>
    </w:p>
    <w:p w:rsidR="006A6AD9" w:rsidRPr="004B34CA" w:rsidRDefault="006A6AD9" w:rsidP="006A6AD9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British Committee for Standards in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Haematology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. (2016b) Guidelines on red cell transfusion in sickle cell disease. Part I: principles and laboratory aspects. </w:t>
      </w:r>
      <w:r w:rsidRPr="004B34CA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British Journal of </w:t>
      </w:r>
      <w:proofErr w:type="spellStart"/>
      <w:r w:rsidRPr="004B34CA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en-US" w:eastAsia="ru-RU"/>
        </w:rPr>
        <w:t>Haematology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shd w:val="clear" w:color="auto" w:fill="EFEFF0"/>
          <w:lang w:val="en-US" w:eastAsia="ru-RU"/>
        </w:rPr>
        <w:t>, 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British Committee for Standards in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Haematology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. (2016c) Guidelines on red cell transfusion in sickle cell disease. Part II: indications for transfusion. </w:t>
      </w:r>
      <w:r w:rsidRPr="004B34CA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British Journal of </w:t>
      </w:r>
      <w:proofErr w:type="spellStart"/>
      <w:r w:rsidRPr="004B34CA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  <w:lang w:val="en-US" w:eastAsia="ru-RU"/>
        </w:rPr>
        <w:t>Haematology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shd w:val="clear" w:color="auto" w:fill="EFEFF0"/>
          <w:lang w:val="en-US" w:eastAsia="ru-RU"/>
        </w:rPr>
        <w:t>,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B.S. Joly, P.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Coppo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,  A.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Veyradier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. Thrombotic thrombocytopenic purpura, Blood, 129 (21), </w:t>
      </w:r>
      <w:r w:rsidRPr="004B34CA">
        <w:rPr>
          <w:rFonts w:ascii="Times New Roman" w:hAnsi="Times New Roman"/>
          <w:sz w:val="24"/>
          <w:szCs w:val="24"/>
        </w:rPr>
        <w:t xml:space="preserve">2017, </w:t>
      </w:r>
      <w:r w:rsidRPr="004B34CA">
        <w:rPr>
          <w:rFonts w:ascii="Times New Roman" w:hAnsi="Times New Roman"/>
          <w:sz w:val="24"/>
          <w:szCs w:val="24"/>
          <w:lang w:val="en-US"/>
        </w:rPr>
        <w:t>2836—2845.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Cabana, Michael D. 5-Minute Pediatric Consult.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Standarts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/ Lippincott Williams &amp; Wilkins (LWW). 2018. 1136p.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Chang, A. B., Bush, A., &amp;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Grimwood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K.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Bronchiectasis in children: diagnosis and treatment. The Lancet, 392(10150), </w:t>
      </w:r>
      <w:r w:rsidRPr="004B34CA">
        <w:rPr>
          <w:rFonts w:ascii="Times New Roman" w:hAnsi="Times New Roman"/>
          <w:iCs/>
          <w:sz w:val="24"/>
          <w:szCs w:val="24"/>
        </w:rPr>
        <w:t xml:space="preserve">2018,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866–879.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doi:10.1016/s0140-6736(18)31554-x 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Charles A.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Sklar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Zoltan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Antal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Wassim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Chemaitilly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et al. Pituitary and Growth Disorders in Survivors of Childhood Cancer: An Endocrine Society Clinical Practice Guideline. J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Clin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Endocrinol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Metab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, August 2018, 103(8):2761–2784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Christian B.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Laursen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Najib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M. Rahman, Giovanni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Volpicelli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. </w:t>
      </w:r>
      <w:r w:rsidRPr="004B34CA">
        <w:rPr>
          <w:rFonts w:ascii="Times New Roman" w:hAnsi="Times New Roman"/>
          <w:sz w:val="24"/>
          <w:szCs w:val="24"/>
          <w:lang w:val="en-US"/>
        </w:rPr>
        <w:t>Thoracic Ultrasound</w:t>
      </w:r>
      <w:r w:rsidRPr="004B34CA">
        <w:rPr>
          <w:rFonts w:ascii="Times New Roman" w:hAnsi="Times New Roman"/>
          <w:sz w:val="24"/>
          <w:szCs w:val="24"/>
        </w:rPr>
        <w:t xml:space="preserve">. </w:t>
      </w:r>
      <w:r w:rsidRPr="004B34CA">
        <w:rPr>
          <w:rFonts w:ascii="Times New Roman" w:hAnsi="Times New Roman"/>
          <w:sz w:val="24"/>
          <w:szCs w:val="24"/>
          <w:lang w:val="en-US"/>
        </w:rPr>
        <w:t>ERS Monograph</w:t>
      </w:r>
      <w:r w:rsidRPr="004B34CA">
        <w:rPr>
          <w:rFonts w:ascii="Times New Roman" w:hAnsi="Times New Roman"/>
          <w:sz w:val="24"/>
          <w:szCs w:val="24"/>
        </w:rPr>
        <w:t xml:space="preserve">, </w:t>
      </w:r>
      <w:r w:rsidRPr="004B34CA">
        <w:rPr>
          <w:rFonts w:ascii="Times New Roman" w:hAnsi="Times New Roman"/>
          <w:sz w:val="24"/>
          <w:szCs w:val="24"/>
          <w:lang w:val="en-US"/>
        </w:rPr>
        <w:t>2018</w:t>
      </w:r>
      <w:r w:rsidRPr="004B34CA">
        <w:rPr>
          <w:rFonts w:ascii="Times New Roman" w:hAnsi="Times New Roman"/>
          <w:sz w:val="24"/>
          <w:szCs w:val="24"/>
        </w:rPr>
        <w:t xml:space="preserve">, </w:t>
      </w:r>
      <w:r w:rsidRPr="004B34CA">
        <w:rPr>
          <w:rFonts w:ascii="Times New Roman" w:hAnsi="Times New Roman"/>
          <w:sz w:val="24"/>
          <w:szCs w:val="24"/>
          <w:lang w:val="en-US"/>
        </w:rPr>
        <w:t>p. 268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 w:eastAsia="uk-UA"/>
        </w:rPr>
        <w:t>Clinical Guidelines: Care of Children with Cystic Fibrosis</w:t>
      </w:r>
      <w:r w:rsidRPr="004B34CA">
        <w:rPr>
          <w:rFonts w:ascii="Times New Roman" w:hAnsi="Times New Roman"/>
          <w:sz w:val="24"/>
          <w:szCs w:val="24"/>
          <w:lang w:eastAsia="uk-UA"/>
        </w:rPr>
        <w:t xml:space="preserve">. </w:t>
      </w:r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Royal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Brompton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Hospital</w:t>
      </w:r>
      <w:r w:rsidRPr="004B34CA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Pr="004B34CA">
        <w:rPr>
          <w:rFonts w:ascii="Times New Roman" w:hAnsi="Times New Roman"/>
          <w:sz w:val="24"/>
          <w:szCs w:val="24"/>
          <w:lang w:val="en-US" w:eastAsia="uk-UA"/>
        </w:rPr>
        <w:t>2020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Clinical guideline. Constipation in children and young people: diagnosis and management, NICE 10 July 2017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Colombatti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R.,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Sainati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L., &amp;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Trevisanuto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D. Anemia and transfusion in the neonate. Seminars in Fetal and Neonatal Medicine, 21(1), 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2018, р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2—9. doi:10.1016/j.siny.2015.12.001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Couper JJ, Haller MJ,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Greenbaum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CJ, et al. ISPAD Clinical Practice Consensus Guidelines 2018 Stages of type 1 diabetes in children and adolescents. Pediatric diabetes. 2018;19(Suppl. 27):20-27.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Dennis C. Stokes </w:t>
      </w:r>
      <w:r w:rsidRPr="004B34CA">
        <w:rPr>
          <w:rFonts w:ascii="Times New Roman" w:eastAsia="Times New Roman" w:hAnsi="Times New Roman"/>
          <w:kern w:val="36"/>
          <w:sz w:val="24"/>
          <w:szCs w:val="24"/>
          <w:lang w:val="en-US" w:eastAsia="uk-UA"/>
        </w:rPr>
        <w:t>Pediatric Pulmonology, Asthma, and Sleep Medicine: A Quick Reference Guide [Paperback]</w:t>
      </w:r>
      <w:r w:rsidRPr="004B34CA">
        <w:rPr>
          <w:rFonts w:ascii="Times New Roman" w:eastAsia="Times New Roman" w:hAnsi="Times New Roman"/>
          <w:kern w:val="36"/>
          <w:sz w:val="24"/>
          <w:szCs w:val="24"/>
          <w:lang w:eastAsia="uk-UA"/>
        </w:rPr>
        <w:t xml:space="preserve">.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American Academy of Pediatrics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2018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4B34CA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US" w:eastAsia="uk-UA"/>
        </w:rPr>
        <w:t>ISBN-13: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 978-1-61002-142-5/890 p.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Dhawan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A.,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Guandalini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Dranski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D. et al. Textbook of Pediatric Gastroenterology, Hepatology and Nutrition: A Comprehensive Guide to Practice; 2016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Douglas A.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Drossman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Functional Gastrointestinal Disorders: History, Pathophysiology, Clinical Features, and Rome IV Gastroenterology 2016;150:1262–1279 DOI: </w:t>
      </w:r>
      <w:hyperlink r:id="rId20" w:history="1">
        <w:r w:rsidRPr="004B34CA">
          <w:rPr>
            <w:rFonts w:ascii="Times New Roman" w:hAnsi="Times New Roman"/>
            <w:sz w:val="24"/>
            <w:szCs w:val="24"/>
            <w:lang w:val="en-US"/>
          </w:rPr>
          <w:t>https://doi.org/10.1053/j.gastro.2016.02.032</w:t>
        </w:r>
      </w:hyperlink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Editors in chief: Dennis C. Stokes </w:t>
      </w:r>
      <w:r w:rsidRPr="004B34CA">
        <w:rPr>
          <w:rFonts w:ascii="Times New Roman" w:eastAsia="Times New Roman" w:hAnsi="Times New Roman"/>
          <w:kern w:val="36"/>
          <w:sz w:val="24"/>
          <w:szCs w:val="24"/>
          <w:lang w:val="en-US" w:eastAsia="uk-UA"/>
        </w:rPr>
        <w:t>Pediatric Pulmonology, Asthma, and Sleep Medicine: A Quick Reference Guide [Paperback]/</w:t>
      </w: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American Academy of Pediatrics/2018/</w:t>
      </w:r>
      <w:r w:rsidRPr="004B34CA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val="en-US" w:eastAsia="uk-UA"/>
        </w:rPr>
        <w:t>ISBN-13:</w:t>
      </w: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 978-1-61002-142-5/890 p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Edeani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B34CA">
        <w:rPr>
          <w:rFonts w:ascii="Times New Roman" w:hAnsi="Times New Roman"/>
          <w:sz w:val="24"/>
          <w:szCs w:val="24"/>
        </w:rPr>
        <w:t xml:space="preserve">А. 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Shirali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А.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 Tumor Lysis Syndrome, American Society of Nephrology, 2016.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Empar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Lurbea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, Enrico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Agabiti-Roseic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>, J. Kennedy Cruickshank et al. 2016 European Society of Hypertension guidelines for the management of high blood pressure in children and adolescents. Journal of Hypertension 2016; 34; DOI:10.1097/HJH.0000000000001039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European Association for the Study of the Liver (EASL), European Association for the Study of Diabetes (EASD), European Association for the Study of Obesity (EASO). EASL-EASD-EASO clinical practice guidelines for the management of non-alcoholic fatty liver disease. J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Hepatol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 2016;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64:1388–402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European Association of Urology. EAU Guidelines on male hypogonadism. 201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 EAU </w:t>
      </w:r>
      <w:hyperlink r:id="rId21" w:tgtFrame="_blank" w:history="1">
        <w:r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https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</w:rPr>
          <w:t>://</w:t>
        </w:r>
        <w:proofErr w:type="spellStart"/>
        <w:r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uroweb</w:t>
        </w:r>
        <w:proofErr w:type="spellEnd"/>
        <w:r w:rsidRPr="004B34CA">
          <w:rPr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org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</w:rPr>
          <w:t>/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guideline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</w:rPr>
          <w:t>/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male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</w:rPr>
          <w:t>-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hypogonadism</w:t>
        </w:r>
        <w:r w:rsidRPr="004B34CA">
          <w:rPr>
            <w:rFonts w:ascii="Times New Roman" w:hAnsi="Times New Roman"/>
            <w:sz w:val="24"/>
            <w:szCs w:val="24"/>
            <w:shd w:val="clear" w:color="auto" w:fill="FFFFFF"/>
          </w:rPr>
          <w:t>/</w:t>
        </w:r>
      </w:hyperlink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Erik A. Jensen Strategies Prevention of Bronchopulmonary Dysplasia: A Summary of Evidence-Based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NeoReviews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.,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9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2019;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20;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e189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ESPGHAN Guidelines on Gastrointestinal and Nutritional Complications, JPGN Volume 65, Number 2, August 2017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Floch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Martin H. </w:t>
      </w:r>
      <w:r w:rsidRPr="004B34CA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Netter's Gastroenterology.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4B34CA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3rd Ed. 2018. 452 p.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lastRenderedPageBreak/>
        <w:t xml:space="preserve">Flynn JT,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Kaelber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DC, Baker-Smith CM, et al. Clinical Practice Guideline for Screening and Management of High Blood Pressure in Children and Adolescents. </w:t>
      </w:r>
      <w:proofErr w:type="spellStart"/>
      <w:r w:rsidRPr="004B34CA">
        <w:rPr>
          <w:rFonts w:ascii="Times New Roman" w:hAnsi="Times New Roman"/>
          <w:sz w:val="24"/>
          <w:szCs w:val="24"/>
        </w:rPr>
        <w:t>Pediatrics</w:t>
      </w:r>
      <w:proofErr w:type="spellEnd"/>
      <w:r w:rsidRPr="004B34CA">
        <w:rPr>
          <w:rFonts w:ascii="Times New Roman" w:hAnsi="Times New Roman"/>
          <w:sz w:val="24"/>
          <w:szCs w:val="24"/>
        </w:rPr>
        <w:t>. 2017; 140(3): e20171904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Grinspon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RP,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Urrutia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M &amp; Rey RA Male central hypogonadism in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paediatrics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— the relevance of follicle-stimulating hormone and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Sertoli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cell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markers. 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Eur.Endocrinol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14, 67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2018. 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Guandalini</w:t>
      </w:r>
      <w:proofErr w:type="spellEnd"/>
      <w:r w:rsidRPr="004B34CA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, S.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Textbook of Pediatric Gastroenterology, Hepatology and Nutrition. A Comprehensive Guide to Practice/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Guandalini</w:t>
      </w:r>
      <w:proofErr w:type="spellEnd"/>
      <w:r w:rsidRPr="004B34CA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, S., 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Dhawan</w:t>
      </w:r>
      <w:proofErr w:type="spellEnd"/>
      <w:r w:rsidRPr="004B34CA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, A., 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Branski</w:t>
      </w:r>
      <w:proofErr w:type="spellEnd"/>
      <w:r w:rsidRPr="004B34CA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, D.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 2016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Hattersley AT, Greeley SA,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Polak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M, et al. ISPAD Clinical Practice Consensus Guidelines 2018: The diagnosis and management of monogenic diabetes in children and adolescents.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Pediatr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Diabetes. 2018;</w:t>
      </w:r>
      <w:r w:rsidRPr="004B34CA">
        <w:rPr>
          <w:rFonts w:ascii="Times New Roman" w:hAnsi="Times New Roman"/>
          <w:sz w:val="24"/>
          <w:szCs w:val="24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19(Suppl. 27):47-63. 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Harrison's Endocrinology, 4E (2016) / J. Larry Jameson. 2016, ISBN 9781259835735.</w:t>
      </w:r>
    </w:p>
    <w:p w:rsidR="006A6AD9" w:rsidRPr="004B34CA" w:rsidRDefault="00EA12BE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22" w:history="1">
        <w:r w:rsidR="006A6AD9" w:rsidRPr="004B34CA">
          <w:rPr>
            <w:rFonts w:ascii="Times New Roman" w:hAnsi="Times New Roman"/>
            <w:sz w:val="24"/>
            <w:szCs w:val="24"/>
            <w:bdr w:val="none" w:sz="0" w:space="0" w:color="auto" w:frame="1"/>
            <w:lang w:val="en-US"/>
          </w:rPr>
          <w:t>Hoffman</w:t>
        </w:r>
      </w:hyperlink>
      <w:r w:rsidR="006A6AD9" w:rsidRPr="004B34CA">
        <w:rPr>
          <w:rFonts w:ascii="Times New Roman" w:hAnsi="Times New Roman"/>
          <w:sz w:val="24"/>
          <w:szCs w:val="24"/>
          <w:lang w:val="en-US"/>
        </w:rPr>
        <w:t xml:space="preserve"> R.</w:t>
      </w:r>
      <w:r w:rsidR="006A6AD9" w:rsidRPr="004B34CA">
        <w:rPr>
          <w:rFonts w:ascii="Times New Roman" w:hAnsi="Times New Roman"/>
          <w:sz w:val="24"/>
          <w:szCs w:val="24"/>
          <w:bdr w:val="none" w:sz="0" w:space="0" w:color="auto" w:frame="1"/>
          <w:lang w:val="en-US"/>
        </w:rPr>
        <w:t xml:space="preserve"> </w:t>
      </w:r>
      <w:r w:rsidR="006A6AD9" w:rsidRPr="004B34CA">
        <w:rPr>
          <w:rFonts w:ascii="Times New Roman" w:eastAsia="Times New Roman" w:hAnsi="Times New Roman"/>
          <w:bCs/>
          <w:kern w:val="36"/>
          <w:sz w:val="24"/>
          <w:szCs w:val="24"/>
          <w:lang w:val="en-US" w:eastAsia="ru-RU"/>
        </w:rPr>
        <w:t>Hematology</w:t>
      </w:r>
      <w:r w:rsidR="006A6AD9" w:rsidRPr="004B34CA">
        <w:rPr>
          <w:rFonts w:ascii="Times New Roman" w:eastAsia="Times New Roman" w:hAnsi="Times New Roman"/>
          <w:kern w:val="36"/>
          <w:sz w:val="24"/>
          <w:szCs w:val="24"/>
          <w:lang w:val="en-US" w:eastAsia="ru-RU"/>
        </w:rPr>
        <w:t xml:space="preserve">. </w:t>
      </w:r>
      <w:r w:rsidR="006A6AD9"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Basic Principles and Practice, 7</w:t>
      </w:r>
      <w:r w:rsidR="006A6AD9" w:rsidRPr="004B34CA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th</w:t>
      </w:r>
      <w:r w:rsidR="006A6AD9"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edition</w:t>
      </w:r>
      <w:r w:rsidR="006A6AD9" w:rsidRPr="004B34CA">
        <w:rPr>
          <w:rFonts w:ascii="Times New Roman" w:eastAsia="Times New Roman" w:hAnsi="Times New Roman"/>
          <w:sz w:val="24"/>
          <w:szCs w:val="24"/>
          <w:lang w:eastAsia="ru-RU"/>
        </w:rPr>
        <w:t>, 2018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Infants and Children: Acute Management of Community Acquired Pneumonia. Guideline of Secretary, NSW Health, 2018.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Jan L.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Brożek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Jean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Bousquet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et al. Allergic Rhinitis and its Impact on Asthma (ARIA) guidelines 2016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J Allergy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Clin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Immunol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</w:rPr>
        <w:t>.,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2017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140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р.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950-8.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Jian Xiao at al. A 20-year study on treating childhood infective endocarditis with valve replacement in a single cardiac center in China. </w:t>
      </w:r>
      <w:r w:rsidRPr="004B34CA">
        <w:rPr>
          <w:rFonts w:ascii="Times New Roman" w:hAnsi="Times New Roman"/>
          <w:sz w:val="24"/>
          <w:szCs w:val="24"/>
        </w:rPr>
        <w:t xml:space="preserve">J </w:t>
      </w:r>
      <w:proofErr w:type="spellStart"/>
      <w:r w:rsidRPr="004B34CA">
        <w:rPr>
          <w:rFonts w:ascii="Times New Roman" w:hAnsi="Times New Roman"/>
          <w:sz w:val="24"/>
          <w:szCs w:val="24"/>
        </w:rPr>
        <w:t>Thorac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Dis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2016; 8(7): 1618-1624</w:t>
      </w:r>
    </w:p>
    <w:p w:rsidR="006A6AD9" w:rsidRPr="004B34CA" w:rsidRDefault="00EA12BE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23" w:history="1">
        <w:proofErr w:type="spellStart"/>
        <w:r w:rsidR="006A6AD9"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Kahaly</w:t>
        </w:r>
        <w:proofErr w:type="spellEnd"/>
        <w:r w:rsidR="006A6AD9"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 xml:space="preserve"> GJ</w:t>
        </w:r>
      </w:hyperlink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, </w:t>
      </w:r>
      <w:hyperlink r:id="rId24" w:history="1">
        <w:proofErr w:type="spellStart"/>
        <w:r w:rsidR="006A6AD9"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Bartalena</w:t>
        </w:r>
        <w:proofErr w:type="spellEnd"/>
        <w:r w:rsidR="006A6AD9"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 xml:space="preserve"> L</w:t>
        </w:r>
      </w:hyperlink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, </w:t>
      </w:r>
      <w:proofErr w:type="spellStart"/>
      <w:r w:rsidR="006A6AD9">
        <w:fldChar w:fldCharType="begin"/>
      </w:r>
      <w:r w:rsidR="006A6AD9">
        <w:instrText xml:space="preserve"> HYPERLINK "https://www.ncbi.nlm.nih.gov/pubmed/?term=Heged%C3%BCs%20L%5BAuthor%5D&amp;cauthor=true&amp;cauthor_uid=30283735" </w:instrText>
      </w:r>
      <w:r w:rsidR="006A6AD9">
        <w:fldChar w:fldCharType="separate"/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Hegedüs</w:t>
      </w:r>
      <w:proofErr w:type="spellEnd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L</w:t>
      </w:r>
      <w:r w:rsidR="006A6AD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fldChar w:fldCharType="end"/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, et al. </w:t>
      </w:r>
      <w:r w:rsidR="006A6AD9" w:rsidRPr="004B34CA">
        <w:rPr>
          <w:rFonts w:ascii="Times New Roman" w:hAnsi="Times New Roman"/>
          <w:sz w:val="24"/>
          <w:szCs w:val="24"/>
          <w:lang w:val="en-US"/>
        </w:rPr>
        <w:t xml:space="preserve"> European Thyroid Association Guideline for the Management of Graves' Hyperthyroidism.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hyperlink r:id="rId25" w:tooltip="European thyroid journal." w:history="1">
        <w:proofErr w:type="spellStart"/>
        <w:r w:rsidR="006A6AD9"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Eur</w:t>
        </w:r>
        <w:proofErr w:type="spellEnd"/>
        <w:r w:rsidR="006A6AD9" w:rsidRPr="004B34C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 xml:space="preserve"> Thyroid J.</w:t>
        </w:r>
      </w:hyperlink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2018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Aug;7(4):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167-186. </w:t>
      </w:r>
      <w:proofErr w:type="spellStart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doi</w:t>
      </w:r>
      <w:proofErr w:type="spellEnd"/>
      <w:r w:rsidR="006A6AD9"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: 10.1159/000490384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Kanakis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GA &amp;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Nieschlag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E 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Klinefelter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syndrome: more than hypogonadism. Metabolism 86, 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2018, р.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135–144.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KDIGO Clinical Practice Guideline Update for the Diagnosis, Evaluation, Prevention, and Treatment of Chronic Kidney Disease–Mineral and Bone Disorder (CKD-MBD)</w:t>
      </w:r>
      <w:r w:rsidRPr="004B34CA">
        <w:rPr>
          <w:rFonts w:ascii="Times New Roman" w:hAnsi="Times New Roman"/>
          <w:sz w:val="24"/>
          <w:szCs w:val="24"/>
        </w:rPr>
        <w:t xml:space="preserve">.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Kidney Inter. Suppl. 7</w:t>
      </w:r>
      <w:r w:rsidRPr="004B34CA">
        <w:rPr>
          <w:rFonts w:ascii="Times New Roman" w:hAnsi="Times New Roman"/>
          <w:iCs/>
          <w:sz w:val="24"/>
          <w:szCs w:val="24"/>
        </w:rPr>
        <w:t xml:space="preserve">,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2017.</w:t>
      </w:r>
      <w:r w:rsidRPr="004B34CA">
        <w:rPr>
          <w:rFonts w:ascii="Times New Roman" w:hAnsi="Times New Roman"/>
          <w:iCs/>
          <w:sz w:val="24"/>
          <w:szCs w:val="24"/>
        </w:rPr>
        <w:t xml:space="preserve">,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1.</w:t>
      </w:r>
      <w:r w:rsidRPr="004B34CA">
        <w:rPr>
          <w:rFonts w:ascii="Times New Roman" w:hAnsi="Times New Roman"/>
          <w:iCs/>
          <w:sz w:val="24"/>
          <w:szCs w:val="24"/>
        </w:rPr>
        <w:t>, р.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 1-60. 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Lesley Rees, Paul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A.Brogan,Detlef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Bockenhauer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Paediatric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nephrology</w:t>
      </w:r>
      <w:r w:rsidRPr="004B34CA">
        <w:rPr>
          <w:rFonts w:ascii="Times New Roman" w:hAnsi="Times New Roman"/>
          <w:sz w:val="24"/>
          <w:szCs w:val="24"/>
        </w:rPr>
        <w:t xml:space="preserve"> (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Oxford Specialist Handbooks in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Paediatrics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>) 2</w:t>
      </w:r>
      <w:r w:rsidRPr="004B34CA">
        <w:rPr>
          <w:rFonts w:ascii="Times New Roman" w:hAnsi="Times New Roman"/>
          <w:sz w:val="24"/>
          <w:szCs w:val="24"/>
          <w:vertAlign w:val="superscript"/>
          <w:lang w:val="en-US"/>
        </w:rPr>
        <w:t>nd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 edition. Oxford University Press, 2017.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Magge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SN, Goodman E, Armstrong SC, Committee on Nutrition Section on Endocrinology Section on Obesity. The metabolic syndrome in children and adolescents: shifting the focus to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cardiometabolic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risk factor clustering. </w:t>
      </w:r>
      <w:r w:rsidRPr="004B34CA">
        <w:rPr>
          <w:rFonts w:ascii="Times New Roman" w:hAnsi="Times New Roman"/>
          <w:iCs/>
          <w:sz w:val="24"/>
          <w:szCs w:val="24"/>
          <w:shd w:val="clear" w:color="auto" w:fill="FFFFFF"/>
          <w:lang w:val="en-US"/>
        </w:rPr>
        <w:t>Pediatrics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 2017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140:e20171603.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doi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: 10.1542/peds.2017-1603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Morice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AH,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Millqvist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E,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Bieksiene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K, et al. ERS guidelines on the diagnosis and treatment of chronic cough in adults and children.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Eur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Respir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J 2019; in press (</w:t>
      </w:r>
      <w:hyperlink r:id="rId26" w:history="1">
        <w:r w:rsidRPr="004B34CA">
          <w:rPr>
            <w:rFonts w:ascii="Times New Roman" w:hAnsi="Times New Roman"/>
            <w:sz w:val="24"/>
            <w:szCs w:val="24"/>
            <w:lang w:val="en-US"/>
          </w:rPr>
          <w:t>https://doi.org/10.1183/13993003.01136-2019</w:t>
        </w:r>
      </w:hyperlink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).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Nicola</w:t>
      </w:r>
      <w:r w:rsidRPr="004B34CA">
        <w:rPr>
          <w:rFonts w:ascii="Times New Roman" w:hAnsi="Times New Roman"/>
          <w:sz w:val="24"/>
          <w:szCs w:val="24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en-US"/>
        </w:rPr>
        <w:t>L</w:t>
      </w:r>
      <w:r w:rsidRPr="004B34CA">
        <w:rPr>
          <w:rFonts w:ascii="Times New Roman" w:hAnsi="Times New Roman"/>
          <w:sz w:val="24"/>
          <w:szCs w:val="24"/>
        </w:rPr>
        <w:t xml:space="preserve">. </w:t>
      </w:r>
      <w:r w:rsidRPr="004B34CA">
        <w:rPr>
          <w:rFonts w:ascii="Times New Roman" w:hAnsi="Times New Roman"/>
          <w:sz w:val="24"/>
          <w:szCs w:val="24"/>
          <w:lang w:val="en-US"/>
        </w:rPr>
        <w:t>Jones</w:t>
      </w:r>
      <w:r w:rsidRPr="004B34CA">
        <w:rPr>
          <w:rFonts w:ascii="Times New Roman" w:hAnsi="Times New Roman"/>
          <w:sz w:val="24"/>
          <w:szCs w:val="24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en-US"/>
        </w:rPr>
        <w:t>et</w:t>
      </w:r>
      <w:r w:rsidRPr="004B34CA">
        <w:rPr>
          <w:rFonts w:ascii="Times New Roman" w:hAnsi="Times New Roman"/>
          <w:sz w:val="24"/>
          <w:szCs w:val="24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en-US"/>
        </w:rPr>
        <w:t>al</w:t>
      </w:r>
      <w:r w:rsidRPr="004B34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</w:rPr>
        <w:t>Joint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ESPGHAN/NASPGHAN </w:t>
      </w:r>
      <w:proofErr w:type="spellStart"/>
      <w:r w:rsidRPr="004B34CA">
        <w:rPr>
          <w:rFonts w:ascii="Times New Roman" w:hAnsi="Times New Roman"/>
          <w:sz w:val="24"/>
          <w:szCs w:val="24"/>
        </w:rPr>
        <w:t>Guidelines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for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the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Management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of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Helicobacter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pylori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in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Children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and</w:t>
      </w:r>
      <w:proofErr w:type="spellEnd"/>
      <w:r w:rsidRPr="004B34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</w:rPr>
        <w:t>Adolescents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>,</w:t>
      </w:r>
      <w:r w:rsidRPr="004B34CA">
        <w:rPr>
          <w:rFonts w:ascii="Times New Roman" w:hAnsi="Times New Roman"/>
          <w:sz w:val="24"/>
          <w:szCs w:val="24"/>
        </w:rPr>
        <w:t xml:space="preserve"> 2016,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 JPGN Volume 64, Number 6, June 2017</w:t>
      </w:r>
      <w:r w:rsidRPr="004B34CA">
        <w:rPr>
          <w:rFonts w:ascii="Times New Roman" w:hAnsi="Times New Roman"/>
          <w:sz w:val="24"/>
          <w:szCs w:val="24"/>
        </w:rPr>
        <w:t>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Oliver J,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Malliya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Wadu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E, Pierse N, et al. Group A Streptococcus pharyngitis and pharyngeal carriage: A meta-analysis. PLOS Neglected Tropical Diseases 2018; 12(3): e0006335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noProof/>
          <w:sz w:val="24"/>
          <w:szCs w:val="24"/>
          <w:lang w:val="en-US" w:eastAsia="ru-RU"/>
        </w:rPr>
        <w:t xml:space="preserve">Pediatric endocrinology and inborn errors of metabolism, </w:t>
      </w: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Second Edition</w:t>
      </w:r>
      <w:r w:rsidRPr="004B34CA">
        <w:rPr>
          <w:rFonts w:ascii="Times New Roman" w:eastAsia="Times New Roman" w:hAnsi="Times New Roman"/>
          <w:noProof/>
          <w:sz w:val="24"/>
          <w:szCs w:val="24"/>
          <w:lang w:val="en-US" w:eastAsia="ru-RU"/>
        </w:rPr>
        <w:t xml:space="preserve"> /Kyriakie Sarafaglou; associate editors, Georg Hoffmann, Karl Roth; consulting editor, Howard Courtney. McGrawHill Medical, 2017.</w:t>
      </w: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1008 pages; ISBN 9780071773133 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pacing w:val="-16"/>
          <w:sz w:val="24"/>
          <w:szCs w:val="24"/>
          <w:lang w:val="en-US"/>
        </w:rPr>
        <w:t xml:space="preserve">Pediatric Obesity Guideline Resources. </w:t>
      </w:r>
      <w:r w:rsidRPr="004B34CA">
        <w:rPr>
          <w:rFonts w:ascii="Times New Roman" w:hAnsi="Times New Roman"/>
          <w:bCs/>
          <w:sz w:val="24"/>
          <w:szCs w:val="24"/>
          <w:lang w:val="en-US"/>
        </w:rPr>
        <w:t>Full Guideline: </w:t>
      </w:r>
      <w:hyperlink r:id="rId27" w:tgtFrame="_blank" w:history="1">
        <w:r w:rsidRPr="004B34CA">
          <w:rPr>
            <w:rFonts w:ascii="Times New Roman" w:hAnsi="Times New Roman"/>
            <w:bCs/>
            <w:sz w:val="24"/>
            <w:szCs w:val="24"/>
            <w:lang w:val="en-US"/>
          </w:rPr>
          <w:t>Pediatric Obesity</w:t>
        </w:r>
        <w:r w:rsidRPr="004B34CA">
          <w:rPr>
            <w:rFonts w:ascii="Times New Roman" w:hAnsi="Times New Roman"/>
            <w:bCs/>
            <w:sz w:val="24"/>
            <w:szCs w:val="24"/>
          </w:rPr>
          <w:t xml:space="preserve">. </w:t>
        </w:r>
        <w:r w:rsidRPr="004B34CA">
          <w:rPr>
            <w:rFonts w:ascii="Times New Roman" w:hAnsi="Times New Roman"/>
            <w:bCs/>
            <w:sz w:val="24"/>
            <w:szCs w:val="24"/>
            <w:lang w:val="en-US"/>
          </w:rPr>
          <w:t>Assessment, Treatment, and Prevention</w:t>
        </w:r>
      </w:hyperlink>
      <w:r w:rsidRPr="004B34CA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4B34CA">
        <w:rPr>
          <w:rFonts w:ascii="Times New Roman" w:hAnsi="Times New Roman"/>
          <w:i/>
          <w:iCs/>
          <w:sz w:val="24"/>
          <w:szCs w:val="24"/>
          <w:lang w:val="en-US"/>
        </w:rPr>
        <w:t>JCEM</w:t>
      </w:r>
      <w:r w:rsidRPr="004B34CA">
        <w:rPr>
          <w:rFonts w:ascii="Times New Roman" w:hAnsi="Times New Roman"/>
          <w:bCs/>
          <w:sz w:val="24"/>
          <w:szCs w:val="24"/>
          <w:lang w:val="en-US"/>
        </w:rPr>
        <w:t xml:space="preserve"> | January 2017. 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Dennis M.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Styne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(chair), Silva A.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Arslanian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, Ellen L. Connor,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Ismaa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Sadaf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Farooqi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, M. Hassan Murad, Janet H. Silverstein, and Jack A.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Yanovski</w:t>
      </w:r>
      <w:proofErr w:type="spellEnd"/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Perth Children’s Hospital “Adrenal insufficiency” guideline: </w:t>
      </w:r>
      <w:hyperlink r:id="rId28" w:history="1">
        <w:r w:rsidRPr="004B34CA">
          <w:rPr>
            <w:rFonts w:ascii="Times New Roman" w:hAnsi="Times New Roman"/>
            <w:sz w:val="24"/>
            <w:szCs w:val="24"/>
            <w:lang w:val="en-US"/>
          </w:rPr>
          <w:t>https://pch.health.wa.gov.au/For-health-professionals/Emergency-Department-Guidelines/Adrenal-insufficiency</w:t>
        </w:r>
      </w:hyperlink>
    </w:p>
    <w:p w:rsidR="006A6AD9" w:rsidRPr="004B34CA" w:rsidRDefault="00EA12BE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29" w:history="1">
        <w:r w:rsidR="006A6AD9" w:rsidRPr="004B34CA">
          <w:rPr>
            <w:rFonts w:ascii="Times New Roman" w:hAnsi="Times New Roman"/>
            <w:sz w:val="24"/>
            <w:szCs w:val="24"/>
            <w:lang w:val="en-US"/>
          </w:rPr>
          <w:t>Prater Kathleen Joan, Hubbard Joyce Ellis (eds.) Pediatric Arrhythmias and EKGs for the Health Care Provider</w:t>
        </w:r>
      </w:hyperlink>
      <w:r w:rsidR="006A6AD9" w:rsidRPr="004B34CA">
        <w:rPr>
          <w:rFonts w:ascii="Times New Roman" w:hAnsi="Times New Roman"/>
          <w:sz w:val="24"/>
          <w:szCs w:val="24"/>
          <w:lang w:val="en-US"/>
        </w:rPr>
        <w:t>. Springer Publishing Company, 2017.</w:t>
      </w:r>
      <w:r w:rsidR="006A6AD9" w:rsidRPr="004B34CA">
        <w:rPr>
          <w:rFonts w:ascii="Times New Roman" w:hAnsi="Times New Roman"/>
          <w:sz w:val="24"/>
          <w:szCs w:val="24"/>
        </w:rPr>
        <w:t xml:space="preserve">, </w:t>
      </w:r>
      <w:r w:rsidR="006A6AD9" w:rsidRPr="004B34CA">
        <w:rPr>
          <w:rFonts w:ascii="Times New Roman" w:hAnsi="Times New Roman"/>
          <w:sz w:val="24"/>
          <w:szCs w:val="24"/>
          <w:lang w:val="en-US"/>
        </w:rPr>
        <w:t>293 p.</w:t>
      </w:r>
    </w:p>
    <w:p w:rsidR="006A6AD9" w:rsidRPr="004B34CA" w:rsidRDefault="00EA12BE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hyperlink r:id="rId30" w:history="1">
        <w:r w:rsidR="006A6AD9" w:rsidRPr="004B34CA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Prater Kathleen Joan, Hubbard Joyce Ellis (eds.) Pediatric Arrhythmias and EKGs for the Health Care Provider</w:t>
        </w:r>
      </w:hyperlink>
      <w:r w:rsidR="006A6AD9"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. Springer Publishing Company, 2017. — 293 p.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Pulmonary Emergencies/ Leo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Heunks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Alexandre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Demoule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, Wolfram </w:t>
      </w: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Windisch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/ 2016/ ERS Monograph/p.229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lastRenderedPageBreak/>
        <w:t xml:space="preserve">Rachel Rosen et al. Pediatric Gastroesophageal Reflux Clinical Practice Guidelines: Joint Recommendations of the North American Society for Pediatric Gastroenterology, Hepatology, and Nutrition (NASPGHAN) and the European Society for Pediatric Gastroenterology, Hepatology, and Nutrition (ESPGHAN) J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Pediatr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Gastroenterol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Nutr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. 2018 Mar; 66(3): 516–554.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>: 10.1097/ MPG. 0000000000001889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Rossetti R, Ferrari I, Bonomi M,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Persani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L. Genetics of primary ovarian insufficiency. 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Clin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Genet. 2017 Feb;91((2)):183–98.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Sanwo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O.,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Lazner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Perera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L.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Paediatric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Clinical Practice Guideline, Chronic or functional abdominal pain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Paediatric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Gastroenterology Team 2018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SARS, MERS and other Viral Lung Infections/ David S. Hui, Giovanni A. Ross, Sebastian L. /2016/ERS Monograph/p.110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Shankar RK,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Backeljauw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PF. Current best practice in the management of Turner syndrome. 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Ther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Adv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Endocrinol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Metab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 2018 Jan;9((1)):33–40.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Shawn L. Ralston et al. Clinical Practice Guideline: The Diagnosis, Management, and Prevention of Bronchiolitis/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 The American Academy of Pediatrics</w:t>
      </w:r>
      <w:r w:rsidRPr="004B34CA">
        <w:rPr>
          <w:rFonts w:ascii="Times New Roman" w:hAnsi="Times New Roman"/>
          <w:sz w:val="24"/>
          <w:szCs w:val="24"/>
        </w:rPr>
        <w:t>, 2018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de-DE"/>
        </w:rPr>
        <w:t xml:space="preserve">Sibylle A. </w:t>
      </w:r>
      <w:proofErr w:type="spellStart"/>
      <w:r w:rsidRPr="004B34CA">
        <w:rPr>
          <w:rFonts w:ascii="Times New Roman" w:hAnsi="Times New Roman"/>
          <w:sz w:val="24"/>
          <w:szCs w:val="24"/>
          <w:lang w:val="de-DE"/>
        </w:rPr>
        <w:t>Kozek</w:t>
      </w:r>
      <w:proofErr w:type="spellEnd"/>
      <w:r w:rsidRPr="004B34CA">
        <w:rPr>
          <w:rFonts w:ascii="Times New Roman" w:hAnsi="Times New Roman"/>
          <w:sz w:val="24"/>
          <w:szCs w:val="24"/>
          <w:lang w:val="de-DE"/>
        </w:rPr>
        <w:t>-Langenecker</w:t>
      </w:r>
      <w:r w:rsidRPr="004B34CA">
        <w:rPr>
          <w:rFonts w:ascii="Times New Roman" w:hAnsi="Times New Roman"/>
          <w:sz w:val="24"/>
          <w:szCs w:val="24"/>
        </w:rPr>
        <w:t xml:space="preserve"> </w:t>
      </w:r>
      <w:r w:rsidRPr="004B34CA">
        <w:rPr>
          <w:rFonts w:ascii="Times New Roman" w:hAnsi="Times New Roman"/>
          <w:sz w:val="24"/>
          <w:szCs w:val="24"/>
          <w:lang w:val="de-DE"/>
        </w:rPr>
        <w:t xml:space="preserve">et al. 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Management of severe perioperative bleeding: guidelines from the European Society of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Anaesthesiology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Eur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J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Anaesthesiol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2017; 34:332–395</w:t>
      </w:r>
      <w:r w:rsidRPr="004B34CA">
        <w:rPr>
          <w:rFonts w:ascii="Times New Roman" w:hAnsi="Times New Roman"/>
          <w:sz w:val="24"/>
          <w:szCs w:val="24"/>
        </w:rPr>
        <w:t>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Simoni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M &amp;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Huhtaniemi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I (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eds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) Endocrinology of the Testis and Male Reproduction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.,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Springer International Publishing, 2017. 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Speiser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PW,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Arlt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W,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Auchus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RJ, Baskin LS, Conway GS,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Merke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DP, et al. Congenital Adrenal Hyperplasia Due to Steroid 21-Hydroxylase Deficiency: An Endocrine Society Clinical Practice Guideline. J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Clin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Endocrinol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Metab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 xml:space="preserve">. 2018 Nov 1;103(11):4043–88, </w:t>
      </w:r>
      <w:hyperlink r:id="rId31" w:history="1">
        <w:r w:rsidRPr="004B34CA">
          <w:rPr>
            <w:rFonts w:ascii="Times New Roman" w:hAnsi="Times New Roman"/>
            <w:sz w:val="24"/>
            <w:szCs w:val="24"/>
            <w:bdr w:val="none" w:sz="0" w:space="0" w:color="auto" w:frame="1"/>
            <w:lang w:val="en-US"/>
          </w:rPr>
          <w:t>https://doi.org/10.1210/jc.2018-01865</w:t>
        </w:r>
      </w:hyperlink>
      <w:r w:rsidRPr="004B34CA">
        <w:rPr>
          <w:rFonts w:ascii="Times New Roman" w:hAnsi="Times New Roman"/>
          <w:caps/>
          <w:sz w:val="24"/>
          <w:szCs w:val="24"/>
        </w:rPr>
        <w:t xml:space="preserve"> 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>Sweet D</w:t>
      </w:r>
      <w:r w:rsidRPr="004B34CA">
        <w:rPr>
          <w:rFonts w:ascii="Times New Roman" w:hAnsi="Times New Roman"/>
          <w:sz w:val="24"/>
          <w:szCs w:val="24"/>
        </w:rPr>
        <w:t>.</w:t>
      </w:r>
      <w:r w:rsidRPr="004B34CA">
        <w:rPr>
          <w:rFonts w:ascii="Times New Roman" w:hAnsi="Times New Roman"/>
          <w:sz w:val="24"/>
          <w:szCs w:val="24"/>
          <w:lang w:val="en-US"/>
        </w:rPr>
        <w:t>G</w:t>
      </w:r>
      <w:r w:rsidRPr="004B34CA">
        <w:rPr>
          <w:rFonts w:ascii="Times New Roman" w:hAnsi="Times New Roman"/>
          <w:sz w:val="24"/>
          <w:szCs w:val="24"/>
        </w:rPr>
        <w:t>.</w:t>
      </w:r>
      <w:r w:rsidRPr="004B34CA">
        <w:rPr>
          <w:rFonts w:ascii="Times New Roman" w:hAnsi="Times New Roman"/>
          <w:sz w:val="24"/>
          <w:szCs w:val="24"/>
          <w:lang w:val="en-US"/>
        </w:rPr>
        <w:t>, et al. European Consensus Guidelines on the Management of Respiratory Distress Syndrome 2016 Update. Neonatology. 2017;111(2):107-125. PMID: 27649091.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The Harriet Lane Handbook: 20th Edition/</w:t>
      </w:r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Elsevier/2018/1269p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eastAsia="Times New Roman" w:hAnsi="Times New Roman"/>
          <w:sz w:val="24"/>
          <w:szCs w:val="24"/>
          <w:lang w:val="en-US" w:eastAsia="uk-UA"/>
        </w:rPr>
        <w:t>SARS, MERS and other Viral Lung Infections/ David S. Hui, Giovanni A. Ross, Sebastian L. /2016/ERS Monograph/p.110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Vinay Kumar,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Abul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Abbas, Jon Aster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 Robbins Basic Pathology10th Edition /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Vinay Kumar,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Abul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Abbas, Jon Aster</w:t>
      </w:r>
      <w:r w:rsidRPr="004B34CA">
        <w:rPr>
          <w:rFonts w:ascii="Times New Roman" w:hAnsi="Times New Roman"/>
          <w:sz w:val="24"/>
          <w:szCs w:val="24"/>
        </w:rPr>
        <w:t xml:space="preserve">., 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Elsevier, 2017</w:t>
      </w:r>
      <w:r w:rsidRPr="004B34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P.952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B34CA">
        <w:rPr>
          <w:rFonts w:ascii="Times New Roman" w:hAnsi="Times New Roman"/>
          <w:sz w:val="24"/>
          <w:szCs w:val="24"/>
          <w:lang w:val="en-US"/>
        </w:rPr>
        <w:t xml:space="preserve">Williams, </w:t>
      </w:r>
      <w:proofErr w:type="spellStart"/>
      <w:r w:rsidRPr="004B34CA">
        <w:rPr>
          <w:rFonts w:ascii="Times New Roman" w:hAnsi="Times New Roman"/>
          <w:sz w:val="24"/>
          <w:szCs w:val="24"/>
          <w:lang w:val="en-US"/>
        </w:rPr>
        <w:t>A.CdeC</w:t>
      </w:r>
      <w:proofErr w:type="spellEnd"/>
      <w:r w:rsidRPr="004B34CA">
        <w:rPr>
          <w:rFonts w:ascii="Times New Roman" w:hAnsi="Times New Roman"/>
          <w:sz w:val="24"/>
          <w:szCs w:val="24"/>
          <w:lang w:val="en-US"/>
        </w:rPr>
        <w:t>, Craig K.D. Updating the Definition of Pain</w:t>
      </w:r>
      <w:r w:rsidRPr="004B34CA">
        <w:rPr>
          <w:rFonts w:ascii="Times New Roman" w:hAnsi="Times New Roman"/>
          <w:sz w:val="24"/>
          <w:szCs w:val="24"/>
        </w:rPr>
        <w:t xml:space="preserve">. </w:t>
      </w:r>
      <w:r w:rsidRPr="004B34CA">
        <w:rPr>
          <w:rFonts w:ascii="Times New Roman" w:hAnsi="Times New Roman"/>
          <w:sz w:val="24"/>
          <w:szCs w:val="24"/>
          <w:lang w:val="en-US"/>
        </w:rPr>
        <w:t>Pain. 2016.</w:t>
      </w:r>
      <w:r w:rsidRPr="004B34CA">
        <w:rPr>
          <w:rFonts w:ascii="Times New Roman" w:hAnsi="Times New Roman"/>
          <w:sz w:val="24"/>
          <w:szCs w:val="24"/>
        </w:rPr>
        <w:t> </w:t>
      </w:r>
      <w:r w:rsidRPr="004B34CA">
        <w:rPr>
          <w:rFonts w:ascii="Times New Roman" w:hAnsi="Times New Roman"/>
          <w:sz w:val="24"/>
          <w:szCs w:val="24"/>
          <w:lang w:val="en-US"/>
        </w:rPr>
        <w:t xml:space="preserve">№ 157. </w:t>
      </w:r>
      <w:r w:rsidRPr="004B34CA">
        <w:rPr>
          <w:rFonts w:ascii="Times New Roman" w:hAnsi="Times New Roman"/>
          <w:sz w:val="24"/>
          <w:szCs w:val="24"/>
        </w:rPr>
        <w:t>Р</w:t>
      </w:r>
      <w:r w:rsidRPr="004B34CA">
        <w:rPr>
          <w:rFonts w:ascii="Times New Roman" w:hAnsi="Times New Roman"/>
          <w:sz w:val="24"/>
          <w:szCs w:val="24"/>
          <w:lang w:val="en-US"/>
        </w:rPr>
        <w:t>. 2420—2423.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Wollenberg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A.,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Barbarot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S., Bieber, et al..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Consensus-based European guidelines for treatment of atopic eczema (atopic dermatitis) in adults and children: part II. Journal of the European Academy of Dermatology and Venereology, 32(6), </w:t>
      </w:r>
      <w:r w:rsidRPr="004B34CA">
        <w:rPr>
          <w:rFonts w:ascii="Times New Roman" w:hAnsi="Times New Roman"/>
          <w:iCs/>
          <w:sz w:val="24"/>
          <w:szCs w:val="24"/>
        </w:rPr>
        <w:t xml:space="preserve">2018., р.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850–878.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doi:10.1111/jdv.14888 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Wollenberg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A., </w:t>
      </w:r>
      <w:proofErr w:type="spellStart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Barbarot</w:t>
      </w:r>
      <w:proofErr w:type="spellEnd"/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S., Bieber, et al.. 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 xml:space="preserve">Consensus-based European guidelines for treatment of atopic eczema (atopic dermatitis) in adults and children: part I. Journal of the European Academy of Dermatology and Venereology, 32(5), </w:t>
      </w:r>
      <w:r w:rsidRPr="004B34CA">
        <w:rPr>
          <w:rFonts w:ascii="Times New Roman" w:hAnsi="Times New Roman"/>
          <w:iCs/>
          <w:sz w:val="24"/>
          <w:szCs w:val="24"/>
        </w:rPr>
        <w:t>2018., р.</w:t>
      </w:r>
      <w:r w:rsidRPr="004B34CA">
        <w:rPr>
          <w:rFonts w:ascii="Times New Roman" w:hAnsi="Times New Roman"/>
          <w:iCs/>
          <w:sz w:val="24"/>
          <w:szCs w:val="24"/>
          <w:lang w:val="en-US"/>
        </w:rPr>
        <w:t>657–682.</w:t>
      </w:r>
      <w:r w:rsidRPr="004B34C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doi:10.1111/jdv.14891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>Zitelli</w:t>
      </w:r>
      <w:proofErr w:type="spellEnd"/>
      <w:r w:rsidRPr="004B34C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Davis' Atlas of Pediatric Physical Diagnosis, 7th Edition/Elsevier/2018/1032p.</w:t>
      </w:r>
    </w:p>
    <w:p w:rsidR="006A6AD9" w:rsidRPr="004B34CA" w:rsidRDefault="006A6AD9" w:rsidP="006A6AD9">
      <w:pPr>
        <w:numPr>
          <w:ilvl w:val="0"/>
          <w:numId w:val="3"/>
        </w:numPr>
        <w:tabs>
          <w:tab w:val="left" w:pos="426"/>
        </w:tabs>
        <w:spacing w:after="30" w:line="240" w:lineRule="auto"/>
        <w:ind w:left="567" w:hanging="425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Zuberbier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T,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Aberer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W,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Asero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 R, et al. Endorsed by the following societies: AAAAI, AAD, AAIITO, ACAAI, AEDV, APAAACI, ASBAI, ASCIA, BAD, BSACI, CDA, CMICA, CSACI, DDG, DDS, DGAKI, DSA, DST, EAACI, EIAS, EDF, EMBRN, ESCD, GA²LEN, IAACI, IADVL, JDA,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NVvA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, MSAI, €OGDV, PSA, RAACI, SBD, SFD, SGAI, SGDV, SIAAIC,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SIDeMaST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, SPDV, TSD, UNBB, UNEV and WAO. The EAACI/GA²LEN/EDF/WAO guideline for the definition, classification, diagnosis and management of </w:t>
      </w:r>
      <w:proofErr w:type="spellStart"/>
      <w:r w:rsidRPr="004B34CA">
        <w:rPr>
          <w:rFonts w:ascii="Times New Roman" w:hAnsi="Times New Roman"/>
          <w:sz w:val="24"/>
          <w:szCs w:val="24"/>
          <w:lang w:val="en-US" w:eastAsia="uk-UA"/>
        </w:rPr>
        <w:t>urticaria</w:t>
      </w:r>
      <w:proofErr w:type="spellEnd"/>
      <w:r w:rsidRPr="004B34CA">
        <w:rPr>
          <w:rFonts w:ascii="Times New Roman" w:hAnsi="Times New Roman"/>
          <w:sz w:val="24"/>
          <w:szCs w:val="24"/>
          <w:lang w:val="en-US" w:eastAsia="uk-UA"/>
        </w:rPr>
        <w:t xml:space="preserve">. </w:t>
      </w:r>
      <w:proofErr w:type="spellStart"/>
      <w:r w:rsidRPr="004B34CA">
        <w:rPr>
          <w:rFonts w:ascii="Times New Roman" w:hAnsi="Times New Roman"/>
          <w:sz w:val="24"/>
          <w:szCs w:val="24"/>
          <w:lang w:eastAsia="uk-UA"/>
        </w:rPr>
        <w:t>Allergy</w:t>
      </w:r>
      <w:proofErr w:type="spellEnd"/>
      <w:r w:rsidRPr="004B34CA">
        <w:rPr>
          <w:rFonts w:ascii="Times New Roman" w:hAnsi="Times New Roman"/>
          <w:sz w:val="24"/>
          <w:szCs w:val="24"/>
          <w:lang w:eastAsia="uk-UA"/>
        </w:rPr>
        <w:t>. 2018;73:1393-1414. https://doi.org/ 10.1111/all.13397</w:t>
      </w:r>
    </w:p>
    <w:p w:rsidR="006A6AD9" w:rsidRPr="004A0C09" w:rsidRDefault="006A6AD9" w:rsidP="006A6AD9">
      <w:pPr>
        <w:tabs>
          <w:tab w:val="left" w:pos="709"/>
        </w:tabs>
        <w:autoSpaceDE w:val="0"/>
        <w:autoSpaceDN w:val="0"/>
        <w:adjustRightInd w:val="0"/>
        <w:spacing w:after="30" w:line="20" w:lineRule="atLeast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A6AD9" w:rsidRPr="00BC2EC1" w:rsidRDefault="006A6AD9" w:rsidP="006A6AD9">
      <w:pPr>
        <w:tabs>
          <w:tab w:val="left" w:pos="993"/>
        </w:tabs>
        <w:spacing w:after="30" w:line="240" w:lineRule="auto"/>
        <w:contextualSpacing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ru-RU"/>
        </w:rPr>
      </w:pPr>
      <w:r w:rsidRPr="0092713C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ru-RU"/>
        </w:rPr>
        <w:t>ЕЛЕКТРОННІ РЕСУРСИ</w:t>
      </w:r>
    </w:p>
    <w:p w:rsidR="006A6AD9" w:rsidRPr="007C083A" w:rsidRDefault="006A6AD9" w:rsidP="006A6AD9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uk-UA"/>
        </w:rPr>
      </w:pPr>
      <w:r w:rsidRPr="007C083A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uk-UA"/>
        </w:rPr>
        <w:t>Загальні (україномовні):</w:t>
      </w:r>
    </w:p>
    <w:p w:rsidR="006A6AD9" w:rsidRPr="007C083A" w:rsidRDefault="006A6AD9" w:rsidP="006A6AD9">
      <w:pPr>
        <w:numPr>
          <w:ilvl w:val="0"/>
          <w:numId w:val="5"/>
        </w:numPr>
        <w:shd w:val="clear" w:color="auto" w:fill="FFFFFF"/>
        <w:spacing w:after="30" w:line="240" w:lineRule="auto"/>
        <w:ind w:left="567" w:hanging="425"/>
        <w:rPr>
          <w:rFonts w:ascii="Times New Roman" w:eastAsia="Times New Roman" w:hAnsi="Times New Roman"/>
          <w:sz w:val="24"/>
          <w:szCs w:val="24"/>
          <w:lang w:eastAsia="uk-UA"/>
        </w:rPr>
      </w:pPr>
      <w:r w:rsidRPr="007C083A">
        <w:rPr>
          <w:rFonts w:ascii="Times New Roman" w:eastAsia="Times New Roman" w:hAnsi="Times New Roman"/>
          <w:sz w:val="24"/>
          <w:szCs w:val="24"/>
          <w:lang w:eastAsia="uk-UA"/>
        </w:rPr>
        <w:t xml:space="preserve">Вінницький національний медичний університет ім. М.І. Пирогова:  </w:t>
      </w:r>
      <w:hyperlink r:id="rId32" w:history="1">
        <w:r w:rsidRPr="007C083A">
          <w:rPr>
            <w:rFonts w:ascii="Times New Roman" w:eastAsia="Times New Roman" w:hAnsi="Times New Roman"/>
            <w:sz w:val="24"/>
            <w:szCs w:val="24"/>
            <w:u w:val="single"/>
            <w:lang w:eastAsia="uk-UA"/>
          </w:rPr>
          <w:t>http://vnmu.edu.ua</w:t>
        </w:r>
      </w:hyperlink>
    </w:p>
    <w:p w:rsidR="006A6AD9" w:rsidRPr="007C083A" w:rsidRDefault="006A6AD9" w:rsidP="006A6AD9">
      <w:pPr>
        <w:numPr>
          <w:ilvl w:val="0"/>
          <w:numId w:val="5"/>
        </w:numPr>
        <w:shd w:val="clear" w:color="auto" w:fill="FFFFFF"/>
        <w:spacing w:after="30" w:line="240" w:lineRule="auto"/>
        <w:ind w:left="567" w:hanging="425"/>
        <w:rPr>
          <w:rFonts w:ascii="Times New Roman" w:eastAsia="Times New Roman" w:hAnsi="Times New Roman"/>
          <w:sz w:val="24"/>
          <w:szCs w:val="24"/>
          <w:lang w:eastAsia="uk-UA"/>
        </w:rPr>
      </w:pPr>
      <w:r w:rsidRPr="007C083A">
        <w:rPr>
          <w:rFonts w:ascii="Times New Roman" w:eastAsia="Times New Roman" w:hAnsi="Times New Roman"/>
          <w:sz w:val="24"/>
          <w:szCs w:val="24"/>
          <w:lang w:eastAsia="uk-UA"/>
        </w:rPr>
        <w:t xml:space="preserve">Бібліотека Вінницького національного медичного університет ім. М.І. Пирогова: http://library.vnmu.edu.ua   </w:t>
      </w:r>
    </w:p>
    <w:p w:rsidR="006A6AD9" w:rsidRPr="007C083A" w:rsidRDefault="006A6AD9" w:rsidP="006A6AD9">
      <w:pPr>
        <w:numPr>
          <w:ilvl w:val="0"/>
          <w:numId w:val="5"/>
        </w:numPr>
        <w:shd w:val="clear" w:color="auto" w:fill="FFFFFF"/>
        <w:spacing w:after="30" w:line="240" w:lineRule="auto"/>
        <w:ind w:left="567" w:hanging="425"/>
        <w:rPr>
          <w:rFonts w:ascii="Times New Roman" w:eastAsia="Times New Roman" w:hAnsi="Times New Roman"/>
          <w:sz w:val="24"/>
          <w:szCs w:val="24"/>
          <w:lang w:eastAsia="uk-UA"/>
        </w:rPr>
      </w:pPr>
      <w:r w:rsidRPr="007C083A">
        <w:rPr>
          <w:rFonts w:ascii="Times New Roman" w:eastAsia="Times New Roman" w:hAnsi="Times New Roman"/>
          <w:sz w:val="24"/>
          <w:szCs w:val="24"/>
          <w:lang w:eastAsia="uk-UA"/>
        </w:rPr>
        <w:t>Центр тестування https://www.testcentr.org.ua/uk/</w:t>
      </w:r>
    </w:p>
    <w:p w:rsidR="006A6AD9" w:rsidRPr="007C083A" w:rsidRDefault="006A6AD9" w:rsidP="006A6AD9">
      <w:pPr>
        <w:numPr>
          <w:ilvl w:val="0"/>
          <w:numId w:val="5"/>
        </w:numPr>
        <w:shd w:val="clear" w:color="auto" w:fill="FFFFFF"/>
        <w:spacing w:after="30" w:line="240" w:lineRule="auto"/>
        <w:ind w:left="567" w:hanging="425"/>
        <w:rPr>
          <w:rFonts w:ascii="Times New Roman" w:eastAsia="Times New Roman" w:hAnsi="Times New Roman"/>
          <w:sz w:val="24"/>
          <w:szCs w:val="24"/>
          <w:lang w:eastAsia="uk-UA"/>
        </w:rPr>
      </w:pPr>
      <w:r w:rsidRPr="007C083A">
        <w:rPr>
          <w:rFonts w:ascii="Times New Roman" w:eastAsia="Times New Roman" w:hAnsi="Times New Roman"/>
          <w:sz w:val="24"/>
          <w:szCs w:val="24"/>
          <w:lang w:eastAsia="uk-UA"/>
        </w:rPr>
        <w:t>МОЗ України https://moz.gov.ua/</w:t>
      </w:r>
    </w:p>
    <w:p w:rsidR="00ED5521" w:rsidRDefault="00EA12BE" w:rsidP="00EA12BE">
      <w:r w:rsidRPr="00EA12BE">
        <w:rPr>
          <w:noProof/>
          <w:lang w:val="ru-RU" w:eastAsia="ru-RU"/>
        </w:rPr>
        <w:lastRenderedPageBreak/>
        <w:drawing>
          <wp:inline distT="0" distB="0" distL="0" distR="0">
            <wp:extent cx="6120130" cy="84196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521" w:rsidSect="001515C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A08C8"/>
    <w:multiLevelType w:val="hybridMultilevel"/>
    <w:tmpl w:val="4F386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D53AA"/>
    <w:multiLevelType w:val="hybridMultilevel"/>
    <w:tmpl w:val="02B05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B18"/>
    <w:multiLevelType w:val="hybridMultilevel"/>
    <w:tmpl w:val="D4AEAB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3D3B1D"/>
    <w:multiLevelType w:val="hybridMultilevel"/>
    <w:tmpl w:val="0D2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C386A"/>
    <w:multiLevelType w:val="hybridMultilevel"/>
    <w:tmpl w:val="5C1C24EE"/>
    <w:lvl w:ilvl="0" w:tplc="4BB4B2A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4411C4"/>
    <w:multiLevelType w:val="hybridMultilevel"/>
    <w:tmpl w:val="98183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97291"/>
    <w:multiLevelType w:val="hybridMultilevel"/>
    <w:tmpl w:val="0EDEB25C"/>
    <w:lvl w:ilvl="0" w:tplc="143C9C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472C4" w:themeColor="accent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B32461"/>
    <w:multiLevelType w:val="hybridMultilevel"/>
    <w:tmpl w:val="98CEA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BD8"/>
    <w:rsid w:val="004E4BD8"/>
    <w:rsid w:val="006A6AD9"/>
    <w:rsid w:val="00D70314"/>
    <w:rsid w:val="00EA12BE"/>
    <w:rsid w:val="00ED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7B2F6"/>
  <w15:chartTrackingRefBased/>
  <w15:docId w15:val="{DDE3DAC1-A51C-410E-AAFB-9F105ABF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AD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A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6AD9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5">
    <w:name w:val="Normal (Web)"/>
    <w:basedOn w:val="a"/>
    <w:uiPriority w:val="99"/>
    <w:unhideWhenUsed/>
    <w:rsid w:val="006A6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39"/>
    <w:rsid w:val="006A6AD9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ia_tokarchuk@ukr.net" TargetMode="External"/><Relationship Id="rId13" Type="http://schemas.openxmlformats.org/officeDocument/2006/relationships/hyperlink" Target="https://www.vnmu.edu.ua/" TargetMode="External"/><Relationship Id="rId18" Type="http://schemas.openxmlformats.org/officeDocument/2006/relationships/hyperlink" Target="https://doi" TargetMode="External"/><Relationship Id="rId26" Type="http://schemas.openxmlformats.org/officeDocument/2006/relationships/hyperlink" Target="https://doi.org/10.1183/13993003.01136-201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roweb.org/guideline/male-hypogonadism/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pediatrics1@vnmu.edu.ua" TargetMode="External"/><Relationship Id="rId12" Type="http://schemas.openxmlformats.org/officeDocument/2006/relationships/hyperlink" Target="https://www.vnmu.edu.ua/" TargetMode="External"/><Relationship Id="rId17" Type="http://schemas.openxmlformats.org/officeDocument/2006/relationships/hyperlink" Target="https://www.liebertpub.com/doi/10.1089/thy.2017.0309" TargetMode="External"/><Relationship Id="rId25" Type="http://schemas.openxmlformats.org/officeDocument/2006/relationships/hyperlink" Target="https://www.ncbi.nlm.nih.gov/pubmed/30283735" TargetMode="External"/><Relationship Id="rId33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s://www.ebooks.com/searchapp/searchresults.net?page=1&amp;term=Stukus%2C+David+R%2E&amp;restrictBy=author" TargetMode="External"/><Relationship Id="rId20" Type="http://schemas.openxmlformats.org/officeDocument/2006/relationships/hyperlink" Target="https://doi.org/10.1053/j.gastro.2016.02.032" TargetMode="External"/><Relationship Id="rId29" Type="http://schemas.openxmlformats.org/officeDocument/2006/relationships/hyperlink" Target="https://www.twirpx.com/file/2544681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ediatrics1@vnmu.edu.ua" TargetMode="External"/><Relationship Id="rId11" Type="http://schemas.openxmlformats.org/officeDocument/2006/relationships/hyperlink" Target="https://www.vnmu.edu.ua/" TargetMode="External"/><Relationship Id="rId24" Type="http://schemas.openxmlformats.org/officeDocument/2006/relationships/hyperlink" Target="https://www.ncbi.nlm.nih.gov/pubmed/?term=Bartalena%20L%5BAuthor%5D&amp;cauthor=true&amp;cauthor_uid=30283735" TargetMode="External"/><Relationship Id="rId32" Type="http://schemas.openxmlformats.org/officeDocument/2006/relationships/hyperlink" Target="http://vnmu.edu.u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uroweb.org/guideline/paediatric-urology/" TargetMode="External"/><Relationship Id="rId23" Type="http://schemas.openxmlformats.org/officeDocument/2006/relationships/hyperlink" Target="https://www.ncbi.nlm.nih.gov/pubmed/?term=Kahaly%20GJ%5BAuthor%5D&amp;cauthor=true&amp;cauthor_uid=30283735" TargetMode="External"/><Relationship Id="rId28" Type="http://schemas.openxmlformats.org/officeDocument/2006/relationships/hyperlink" Target="https://pch.health.wa.gov.au/For-health-professionals/Emergency-Department-Guidelines/Adrenal-insufficiency" TargetMode="External"/><Relationship Id="rId10" Type="http://schemas.openxmlformats.org/officeDocument/2006/relationships/hyperlink" Target="https://www.vnmu.edu.ua/downloads/other/pologPhD_org.pdf" TargetMode="External"/><Relationship Id="rId19" Type="http://schemas.openxmlformats.org/officeDocument/2006/relationships/hyperlink" Target="https://www.twirpx.com/file/2516289/" TargetMode="External"/><Relationship Id="rId31" Type="http://schemas.openxmlformats.org/officeDocument/2006/relationships/hyperlink" Target="https://doi.org/10.1210/jc.2018-018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nmu.edu.ua/downloads/other/kodex_akad_dobro.PDF" TargetMode="External"/><Relationship Id="rId14" Type="http://schemas.openxmlformats.org/officeDocument/2006/relationships/hyperlink" Target="https://www.vnmu.edu.ua/%D0%BA%D0%B0%D1%84%D0%B5%D0%B4%D1%80%D0%B0-%D0%BF%D1%80%D0%BE%D0%BF%D0%B5%D0%B4%D0%B5%D0%B2%D1%82%D0%B8%D0%BA%D0%B8-%D0%B4%D0%B8%D1%82%D1%8F%D1%87%D0%B8%D1%85-%D0%B7%D0%B0%D1%85%D0%B2%D0%BE%D1%80%D1%8E%D0%B2%D0%B0%D0%BD%D1%8C-%D1%82%D0%B0-%D0%B4%D0%BE%D0%B3%D0%BB%D1%8F%D0%B4%D1%83-%D0%B7%D0%B0-%D1%85%D0%B2%D0%BE%D1%80%D0%B8%D0%BC%D0%B8-%D0%B4%D1%96%D1%82%D1%8C%D0%BC%D0%B8" TargetMode="External"/><Relationship Id="rId22" Type="http://schemas.openxmlformats.org/officeDocument/2006/relationships/hyperlink" Target="https://www.kobo.com/gb/en/author/ronald-hoffman%2c-md" TargetMode="External"/><Relationship Id="rId27" Type="http://schemas.openxmlformats.org/officeDocument/2006/relationships/hyperlink" Target="https://doi.org/10.1210/jc.2016-2573" TargetMode="External"/><Relationship Id="rId30" Type="http://schemas.openxmlformats.org/officeDocument/2006/relationships/hyperlink" Target="https://www.twirpx.com/file/2544681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4521</Words>
  <Characters>25771</Characters>
  <Application>Microsoft Office Word</Application>
  <DocSecurity>0</DocSecurity>
  <Lines>214</Lines>
  <Paragraphs>60</Paragraphs>
  <ScaleCrop>false</ScaleCrop>
  <Company/>
  <LinksUpToDate>false</LinksUpToDate>
  <CharactersWithSpaces>30232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2021-04-27T12:09:00Z</dcterms:created>
  <dcterms:modified xsi:type="dcterms:W3CDTF">2021-04-27T16:26:00Z</dcterms:modified>
</cp:coreProperties>
</file>