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autoSpaceDE w:val="false"/>
        <w:spacing w:lineRule="auto" w:line="480" w:before="73" w:after="0"/>
        <w:ind w:hanging="3032" w:start="4970" w:end="0"/>
        <w:rPr/>
      </w:pPr>
      <w:r>
        <w:drawing>
          <wp:anchor behindDoc="0" distT="0" distB="0" distL="0" distR="0" simplePos="0" locked="0" layoutInCell="0" allowOverlap="1" relativeHeight="3">
            <wp:simplePos x="0" y="0"/>
            <wp:positionH relativeFrom="page">
              <wp:posOffset>701675</wp:posOffset>
            </wp:positionH>
            <wp:positionV relativeFrom="paragraph">
              <wp:posOffset>46355</wp:posOffset>
            </wp:positionV>
            <wp:extent cx="691515" cy="925195"/>
            <wp:effectExtent l="0" t="0" r="0" b="0"/>
            <wp:wrapNone/>
            <wp:docPr id="1" name="Рисунок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 title=""/>
                    <pic:cNvPicPr>
                      <a:picLocks noChangeAspect="1" noChangeArrowheads="1"/>
                    </pic:cNvPicPr>
                  </pic:nvPicPr>
                  <pic:blipFill>
                    <a:blip r:embed="rId2"/>
                    <a:srcRect l="-23" t="-17" r="-23" b="-17"/>
                    <a:stretch>
                      <a:fillRect/>
                    </a:stretch>
                  </pic:blipFill>
                  <pic:spPr bwMode="auto">
                    <a:xfrm>
                      <a:off x="0" y="0"/>
                      <a:ext cx="691515" cy="925195"/>
                    </a:xfrm>
                    <a:prstGeom prst="rect">
                      <a:avLst/>
                    </a:prstGeom>
                  </pic:spPr>
                </pic:pic>
              </a:graphicData>
            </a:graphic>
          </wp:anchor>
        </w:drawing>
      </w:r>
      <w:r>
        <w:rPr>
          <w:rFonts w:eastAsia="Times New Roman" w:cs="Times New Roman" w:ascii="Times New Roman" w:hAnsi="Times New Roman"/>
          <w:b/>
          <w:color w:val="0000FF"/>
          <w:sz w:val="24"/>
        </w:rPr>
        <w:t>Pirogov</w:t>
      </w:r>
      <w:r>
        <w:rPr>
          <w:rFonts w:eastAsia="Times New Roman" w:cs="Times New Roman" w:ascii="Times New Roman" w:hAnsi="Times New Roman"/>
          <w:b/>
          <w:color w:val="0000FF"/>
          <w:spacing w:val="-7"/>
          <w:sz w:val="24"/>
        </w:rPr>
        <w:t xml:space="preserve"> </w:t>
      </w:r>
      <w:r>
        <w:rPr>
          <w:rFonts w:eastAsia="Times New Roman" w:cs="Times New Roman" w:ascii="Times New Roman" w:hAnsi="Times New Roman"/>
          <w:b/>
          <w:color w:val="0000FF"/>
          <w:sz w:val="24"/>
        </w:rPr>
        <w:t>Vinnytsya</w:t>
      </w:r>
      <w:r>
        <w:rPr>
          <w:rFonts w:eastAsia="Times New Roman" w:cs="Times New Roman" w:ascii="Times New Roman" w:hAnsi="Times New Roman"/>
          <w:b/>
          <w:color w:val="0000FF"/>
          <w:spacing w:val="-7"/>
          <w:sz w:val="24"/>
        </w:rPr>
        <w:t xml:space="preserve"> </w:t>
      </w:r>
      <w:r>
        <w:rPr>
          <w:rFonts w:eastAsia="Times New Roman" w:cs="Times New Roman" w:ascii="Times New Roman" w:hAnsi="Times New Roman"/>
          <w:b/>
          <w:color w:val="0000FF"/>
          <w:sz w:val="24"/>
        </w:rPr>
        <w:t>National</w:t>
      </w:r>
      <w:r>
        <w:rPr>
          <w:rFonts w:eastAsia="Times New Roman" w:cs="Times New Roman" w:ascii="Times New Roman" w:hAnsi="Times New Roman"/>
          <w:b/>
          <w:color w:val="0000FF"/>
          <w:spacing w:val="-7"/>
          <w:sz w:val="24"/>
        </w:rPr>
        <w:t xml:space="preserve"> </w:t>
      </w:r>
      <w:r>
        <w:rPr>
          <w:rFonts w:eastAsia="Times New Roman" w:cs="Times New Roman" w:ascii="Times New Roman" w:hAnsi="Times New Roman"/>
          <w:b/>
          <w:color w:val="0000FF"/>
          <w:sz w:val="24"/>
        </w:rPr>
        <w:t>Medical</w:t>
      </w:r>
      <w:r>
        <w:rPr>
          <w:rFonts w:eastAsia="Times New Roman" w:cs="Times New Roman" w:ascii="Times New Roman" w:hAnsi="Times New Roman"/>
          <w:b/>
          <w:color w:val="0000FF"/>
          <w:spacing w:val="-6"/>
          <w:sz w:val="24"/>
        </w:rPr>
        <w:t xml:space="preserve"> </w:t>
      </w:r>
      <w:r>
        <w:rPr>
          <w:rFonts w:eastAsia="Times New Roman" w:cs="Times New Roman" w:ascii="Times New Roman" w:hAnsi="Times New Roman"/>
          <w:b/>
          <w:color w:val="0000FF"/>
          <w:sz w:val="24"/>
        </w:rPr>
        <w:t>University</w:t>
      </w:r>
      <w:r>
        <w:rPr>
          <w:rFonts w:eastAsia="Times New Roman" w:cs="Times New Roman" w:ascii="Times New Roman" w:hAnsi="Times New Roman"/>
          <w:b/>
          <w:color w:val="0000FF"/>
          <w:spacing w:val="-6"/>
          <w:sz w:val="24"/>
        </w:rPr>
        <w:t xml:space="preserve"> </w:t>
      </w:r>
      <w:r>
        <w:rPr>
          <w:rFonts w:eastAsia="Times New Roman" w:cs="Times New Roman" w:ascii="Times New Roman" w:hAnsi="Times New Roman"/>
          <w:b/>
          <w:color w:val="0000FF"/>
          <w:sz w:val="24"/>
        </w:rPr>
        <w:t/>
      </w:r>
      <w:r>
        <w:rPr>
          <w:rFonts w:eastAsia="Times New Roman" w:cs="Times New Roman" w:ascii="Times New Roman" w:hAnsi="Times New Roman"/>
          <w:b/>
          <w:color w:val="0000FF"/>
          <w:spacing w:val="-6"/>
          <w:sz w:val="24"/>
        </w:rPr>
        <w:t xml:space="preserve"/>
      </w:r>
      <w:r>
        <w:rPr>
          <w:rFonts w:eastAsia="Times New Roman" w:cs="Times New Roman" w:ascii="Times New Roman" w:hAnsi="Times New Roman"/>
          <w:b/>
          <w:color w:val="0000FF"/>
          <w:sz w:val="24"/>
        </w:rPr>
        <w:t xml:space="preserve"/>
      </w:r>
      <w:r>
        <w:rPr>
          <w:rFonts w:eastAsia="Times New Roman" w:cs="Times New Roman" w:ascii="Times New Roman" w:hAnsi="Times New Roman"/>
          <w:b/>
          <w:color w:val="0000FF"/>
          <w:spacing w:val="-2"/>
          <w:sz w:val="24"/>
        </w:rPr>
        <w:br/>
        <w:t>SYLLABUS</w:t>
      </w:r>
    </w:p>
    <w:p>
      <w:pPr>
        <w:pStyle w:val="Normal"/>
        <w:widowControl w:val="false"/>
        <w:autoSpaceDE w:val="false"/>
        <w:spacing w:lineRule="auto" w:line="480" w:before="73" w:after="0"/>
        <w:ind w:hanging="3032" w:start="4970" w:end="0"/>
        <w:rPr>
          <w:rFonts w:ascii="Times New Roman" w:hAnsi="Times New Roman" w:eastAsia="Times New Roman" w:cs="Times New Roman"/>
          <w:b/>
          <w:color w:val="0000FF"/>
          <w:spacing w:val="-2"/>
          <w:sz w:val="24"/>
        </w:rPr>
      </w:pPr>
      <w:r>
        <w:rPr>
          <w:rFonts w:eastAsia="Times New Roman" w:cs="Times New Roman" w:ascii="Times New Roman" w:hAnsi="Times New Roman"/>
          <w:b/>
          <w:color w:val="0000FF"/>
          <w:spacing w:val="-2"/>
          <w:sz w:val="24"/>
        </w:rPr>
      </w:r>
    </w:p>
    <w:p>
      <w:pPr>
        <w:pStyle w:val="Normal"/>
        <w:widowControl w:val="false"/>
        <w:autoSpaceDE w:val="false"/>
        <w:spacing w:lineRule="exact" w:line="20" w:before="0" w:after="0"/>
        <w:ind w:start="2797" w:end="0"/>
        <w:rPr>
          <w:rFonts w:ascii="Times New Roman" w:hAnsi="Times New Roman" w:eastAsia="Times New Roman" w:cs="Times New Roman"/>
          <w:sz w:val="2"/>
          <w:szCs w:val="24"/>
        </w:rPr>
      </w:pPr>
      <w:r>
        <w:rPr>
          <w:lang w:val="en-US" w:eastAsia="en-US"/>
        </w:rPr>
        <mc:AlternateContent>
          <mc:Choice Requires="wpg">
            <w:drawing>
              <wp:inline distT="0" distB="0" distL="0" distR="0">
                <wp:extent cx="4267200" cy="10160"/>
                <wp:effectExtent l="0" t="0" r="0" b="0"/>
                <wp:docPr id="2" name="Группа 4"/>
                <a:graphic xmlns:a="http://schemas.openxmlformats.org/drawingml/2006/main">
                  <a:graphicData uri="http://schemas.microsoft.com/office/word/2010/wordprocessingGroup">
                    <wpg:wgp>
                      <wpg:cNvGrpSpPr/>
                      <wpg:grpSpPr>
                        <a:xfrm>
                          <a:off x="0" y="0"/>
                          <a:ext cx="4267080" cy="10080"/>
                          <a:chOff x="0" y="0"/>
                          <a:chExt cx="4267080" cy="10080"/>
                        </a:xfrm>
                      </wpg:grpSpPr>
                      <wps:wsp>
                        <wps:cNvPr id="3" name="Graphic 3"/>
                        <wps:cNvSpPr/>
                        <wps:spPr>
                          <a:xfrm>
                            <a:off x="0" y="0"/>
                            <a:ext cx="4267080" cy="10080"/>
                          </a:xfrm>
                          <a:custGeom>
                            <a:avLst/>
                            <a:gdLst/>
                            <a:ahLst/>
                            <a:rect l="l" t="t" r="r" b="b"/>
                            <a:pathLst>
                              <a:path w="4267200" h="1270">
                                <a:moveTo>
                                  <a:pt x="0" y="0"/>
                                </a:moveTo>
                                <a:lnTo>
                                  <a:pt x="4267200" y="0"/>
                                </a:lnTo>
                              </a:path>
                            </a:pathLst>
                          </a:custGeom>
                          <a:noFill/>
                          <a:ln w="9360">
                            <a:solidFill>
                              <a:srgbClr val="0000fe"/>
                            </a:solidFill>
                            <a:round/>
                          </a:ln>
                        </wps:spPr>
                        <wps:style>
                          <a:lnRef idx="0"/>
                          <a:fillRef idx="0"/>
                          <a:effectRef idx="0"/>
                          <a:fontRef idx="minor"/>
                        </wps:style>
                        <wps:bodyPr/>
                      </wps:wsp>
                    </wpg:wgp>
                  </a:graphicData>
                </a:graphic>
              </wp:inline>
            </w:drawing>
          </mc:Choice>
          <mc:Fallback>
            <w:pict>
              <v:group id="shape_0" alt="Группа 4" style="position:absolute;margin-left:0pt;margin-top:0pt;width:336pt;height:0.8pt" coordorigin="0,0" coordsize="6720,16">
                <v:shape id="shape_0" ID="Graphic 3" coordsize="4267200,1270" path="m0,0l4267200,0e" stroked="t" o:allowincell="f" style="position:absolute;left:0;top:0;width:6719;height:15;mso-wrap-style:none;v-text-anchor:middle;mso-position-horizontal:center">
                  <v:fill o:detectmouseclick="t" on="false"/>
                  <v:stroke color="#0000fe" weight="9360" joinstyle="round" endcap="flat"/>
                  <w10:wrap type="square"/>
                </v:shape>
              </v:group>
            </w:pict>
          </mc:Fallback>
        </mc:AlternateContent>
      </w:r>
    </w:p>
    <w:p>
      <w:pPr>
        <w:pStyle w:val="Normal"/>
        <w:widowControl w:val="false"/>
        <w:autoSpaceDE w:val="false"/>
        <w:spacing w:lineRule="auto" w:line="240" w:before="256" w:after="0"/>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autoSpaceDE w:val="false"/>
        <w:spacing w:lineRule="auto" w:line="240" w:before="0" w:after="0"/>
        <w:ind w:start="142" w:end="0"/>
        <w:jc w:val="both"/>
        <w:rPr>
          <w:rFonts w:ascii="Times New Roman" w:hAnsi="Times New Roman" w:eastAsia="Times New Roman" w:cs="Times New Roman"/>
          <w:b/>
          <w:sz w:val="24"/>
        </w:rPr>
      </w:pPr>
      <w:r>
        <w:rPr>
          <w:rFonts w:eastAsia="Times New Roman" w:cs="Times New Roman" w:ascii="Times New Roman" w:hAnsi="Times New Roman"/>
          <w:b/>
          <w:color w:val="0000FF"/>
          <w:sz w:val="24"/>
        </w:rPr>
        <w:t xml:space="preserve">Master’s degree discipline:</w:t>
      </w:r>
    </w:p>
    <w:p>
      <w:pPr>
        <w:pStyle w:val="Normal"/>
        <w:widowControl w:val="false"/>
        <w:numPr>
          <w:ilvl w:val="0"/>
          <w:numId w:val="0"/>
        </w:numPr>
        <w:autoSpaceDE w:val="false"/>
        <w:spacing w:lineRule="auto" w:line="240" w:before="0" w:after="0"/>
        <w:ind w:start="142" w:end="0"/>
        <w:jc w:val="both"/>
        <w:outlineLvl w:val="0"/>
        <w:rPr>
          <w:rFonts w:ascii="Times New Roman" w:hAnsi="Times New Roman" w:eastAsia="Times New Roman" w:cs="Times New Roman"/>
          <w:b/>
          <w:bCs/>
          <w:sz w:val="24"/>
          <w:szCs w:val="24"/>
        </w:rPr>
      </w:pPr>
      <w:r>
        <w:rPr>
          <w:b/>
          <w:rFonts w:eastAsia="Times New Roman" w:cs="Times New Roman" w:ascii="Times New Roman" w:hAnsi="Times New Roman"/>
          <w:color w:val="0000FF"/>
          <w:sz w:val="24"/>
          <w:szCs w:val="24"/>
        </w:rPr>
        <w:t xml:space="preserve">PHARMACEUTICAL ASPECTS OF SUBSTANCE ABUSE AND DRUG ADDICTION</w:t>
      </w:r>
    </w:p>
    <w:p>
      <w:pPr>
        <w:pStyle w:val="Normal"/>
        <w:widowControl w:val="false"/>
        <w:autoSpaceDE w:val="false"/>
        <w:spacing w:lineRule="auto" w:line="240" w:before="46" w:after="0"/>
        <w:rPr>
          <w:rFonts w:ascii="Times New Roman" w:hAnsi="Times New Roman" w:eastAsia="Times New Roman" w:cs="Times New Roman"/>
          <w:b/>
          <w:bCs/>
          <w:sz w:val="20"/>
          <w:szCs w:val="24"/>
        </w:rPr>
      </w:pPr>
      <w:r>
        <w:rPr>
          <w:rFonts w:eastAsia="Times New Roman" w:cs="Times New Roman" w:ascii="Times New Roman" w:hAnsi="Times New Roman"/>
          <w:b/>
          <w:bCs/>
          <w:sz w:val="20"/>
          <w:szCs w:val="24"/>
        </w:rPr>
      </w:r>
    </w:p>
    <w:tbl>
      <w:tblPr>
        <w:tblW w:w="9794" w:type="dxa"/>
        <w:jc w:val="start"/>
        <w:tblInd w:w="0" w:type="dxa"/>
        <w:tblLayout w:type="fixed"/>
        <w:tblCellMar>
          <w:top w:w="0" w:type="dxa"/>
          <w:start w:w="0" w:type="dxa"/>
          <w:bottom w:w="0" w:type="dxa"/>
          <w:end w:w="0" w:type="dxa"/>
        </w:tblCellMar>
      </w:tblPr>
      <w:tblGrid>
        <w:gridCol w:w="4189"/>
        <w:gridCol w:w="5605"/>
      </w:tblGrid>
      <w:tr>
        <w:trPr>
          <w:trHeight w:val="305" w:hRule="atLeast"/>
        </w:trPr>
        <w:tc>
          <w:tcPr>
            <w:tcW w:w="4189" w:type="dxa"/>
            <w:tcBorders>
              <w:top w:val="single" w:sz="8" w:space="0" w:color="000000"/>
              <w:start w:val="single" w:sz="8" w:space="0" w:color="000000"/>
              <w:bottom w:val="single" w:sz="8" w:space="0" w:color="000000"/>
              <w:end w:val="single" w:sz="8" w:space="0" w:color="000000"/>
            </w:tcBorders>
          </w:tcPr>
          <w:p>
            <w:pPr>
              <w:pStyle w:val="Normal"/>
              <w:widowControl w:val="false"/>
              <w:autoSpaceDE w:val="false"/>
              <w:spacing w:lineRule="exact" w:line="271" w:before="15" w:after="0"/>
              <w:ind w:start="25" w:end="0"/>
              <w:rPr>
                <w:rFonts w:ascii="Times New Roman" w:hAnsi="Times New Roman" w:eastAsia="Times New Roman" w:cs="Times New Roman"/>
                <w:b/>
                <w:sz w:val="24"/>
              </w:rPr>
            </w:pPr>
            <w:r>
              <w:rPr>
                <w:rFonts w:eastAsia="Times New Roman" w:cs="Times New Roman" w:ascii="Times New Roman" w:hAnsi="Times New Roman"/>
                <w:b/>
                <w:spacing w:val="-2"/>
                <w:sz w:val="24"/>
              </w:rPr>
              <w:t xml:space="preserve">Specialty</w:t>
            </w:r>
          </w:p>
        </w:tc>
        <w:tc>
          <w:tcPr>
            <w:tcW w:w="5605" w:type="dxa"/>
            <w:tcBorders>
              <w:top w:val="single" w:sz="8" w:space="0" w:color="000000"/>
              <w:start w:val="single" w:sz="8" w:space="0" w:color="000000"/>
              <w:bottom w:val="single" w:sz="8" w:space="0" w:color="000000"/>
              <w:end w:val="single" w:sz="8" w:space="0" w:color="000000"/>
            </w:tcBorders>
          </w:tcPr>
          <w:p>
            <w:pPr>
              <w:pStyle w:val="Normal"/>
              <w:widowControl w:val="false"/>
              <w:autoSpaceDE w:val="false"/>
              <w:spacing w:lineRule="exact" w:line="271" w:before="15" w:after="0"/>
              <w:ind w:start="25" w:end="0"/>
              <w:rPr>
                <w:rFonts w:ascii="Times New Roman" w:hAnsi="Times New Roman" w:eastAsia="Times New Roman" w:cs="Times New Roman"/>
                <w:sz w:val="24"/>
                <w:szCs w:val="24"/>
              </w:rPr>
            </w:pPr>
            <w:r>
              <w:rPr>
                <w:rFonts w:cs="Times New Roman" w:ascii="Times New Roman" w:hAnsi="Times New Roman"/>
                <w:color w:val="000000"/>
                <w:sz w:val="24"/>
                <w:szCs w:val="24"/>
              </w:rPr>
              <w:t xml:space="preserve">226 Pharmacy, Industrial Pharmacy</w:t>
            </w:r>
          </w:p>
        </w:tc>
      </w:tr>
      <w:tr>
        <w:trPr>
          <w:trHeight w:val="305" w:hRule="atLeast"/>
        </w:trPr>
        <w:tc>
          <w:tcPr>
            <w:tcW w:w="4189" w:type="dxa"/>
            <w:tcBorders>
              <w:top w:val="single" w:sz="8" w:space="0" w:color="000000"/>
              <w:start w:val="single" w:sz="8" w:space="0" w:color="000000"/>
              <w:bottom w:val="single" w:sz="8" w:space="0" w:color="000000"/>
              <w:end w:val="single" w:sz="8" w:space="0" w:color="000000"/>
            </w:tcBorders>
          </w:tcPr>
          <w:p>
            <w:pPr>
              <w:pStyle w:val="Normal"/>
              <w:widowControl w:val="false"/>
              <w:autoSpaceDE w:val="false"/>
              <w:spacing w:lineRule="exact" w:line="271" w:before="15" w:after="0"/>
              <w:ind w:start="85" w:end="0"/>
              <w:rPr>
                <w:rFonts w:ascii="Times New Roman" w:hAnsi="Times New Roman" w:eastAsia="Times New Roman" w:cs="Times New Roman"/>
                <w:b/>
                <w:sz w:val="24"/>
              </w:rPr>
            </w:pPr>
            <w:r>
              <w:rPr>
                <w:rFonts w:eastAsia="Times New Roman" w:cs="Times New Roman" w:ascii="Times New Roman" w:hAnsi="Times New Roman"/>
                <w:b/>
                <w:sz w:val="24"/>
                <w:szCs w:val="24"/>
              </w:rPr>
              <w:t xml:space="preserve">Educational program</w:t>
            </w:r>
          </w:p>
        </w:tc>
        <w:tc>
          <w:tcPr>
            <w:tcW w:w="5605" w:type="dxa"/>
            <w:tcBorders>
              <w:top w:val="single" w:sz="8" w:space="0" w:color="000000"/>
              <w:start w:val="single" w:sz="8" w:space="0" w:color="000000"/>
              <w:bottom w:val="single" w:sz="8" w:space="0" w:color="000000"/>
              <w:end w:val="single" w:sz="8" w:space="0" w:color="000000"/>
            </w:tcBorders>
          </w:tcPr>
          <w:p>
            <w:pPr>
              <w:pStyle w:val="Normal"/>
              <w:widowControl w:val="false"/>
              <w:autoSpaceDE w:val="false"/>
              <w:spacing w:lineRule="exact" w:line="271" w:before="15" w:after="0"/>
              <w:ind w:start="25" w:end="0"/>
              <w:rPr>
                <w:rFonts w:ascii="Times New Roman" w:hAnsi="Times New Roman" w:eastAsia="Times New Roman" w:cs="Times New Roman"/>
                <w:b/>
                <w:sz w:val="24"/>
                <w:szCs w:val="24"/>
              </w:rPr>
            </w:pPr>
            <w:r>
              <w:rPr>
                <w:rFonts w:cs="Times New Roman" w:ascii="Times New Roman" w:hAnsi="Times New Roman"/>
                <w:color w:val="000000"/>
                <w:sz w:val="24"/>
                <w:szCs w:val="24"/>
              </w:rPr>
              <w:t xml:space="preserve">EPP “Pharmacy” (2023), 226.01 Pharmacy</w:t>
            </w:r>
          </w:p>
        </w:tc>
      </w:tr>
      <w:tr>
        <w:trPr>
          <w:trHeight w:val="306" w:hRule="atLeast"/>
        </w:trPr>
        <w:tc>
          <w:tcPr>
            <w:tcW w:w="4189" w:type="dxa"/>
            <w:tcBorders>
              <w:top w:val="single" w:sz="8" w:space="0" w:color="000000"/>
              <w:start w:val="single" w:sz="8" w:space="0" w:color="000000"/>
              <w:bottom w:val="single" w:sz="8" w:space="0" w:color="000000"/>
              <w:end w:val="single" w:sz="8" w:space="0" w:color="000000"/>
            </w:tcBorders>
          </w:tcPr>
          <w:p>
            <w:pPr>
              <w:pStyle w:val="Normal"/>
              <w:widowControl w:val="false"/>
              <w:autoSpaceDE w:val="false"/>
              <w:spacing w:lineRule="exact" w:line="271" w:before="15" w:after="0"/>
              <w:ind w:start="85" w:end="0"/>
              <w:rPr>
                <w:rFonts w:ascii="Times New Roman" w:hAnsi="Times New Roman" w:eastAsia="Times New Roman" w:cs="Times New Roman"/>
                <w:b/>
                <w:sz w:val="24"/>
              </w:rPr>
            </w:pPr>
            <w:r>
              <w:rPr>
                <w:rFonts w:eastAsia="Times New Roman" w:cs="Times New Roman" w:ascii="Times New Roman" w:hAnsi="Times New Roman"/>
                <w:b/>
                <w:sz w:val="24"/>
              </w:rPr>
              <w:t xml:space="preserve">Level of higher education</w:t>
            </w:r>
          </w:p>
        </w:tc>
        <w:tc>
          <w:tcPr>
            <w:tcW w:w="5605" w:type="dxa"/>
            <w:tcBorders>
              <w:top w:val="single" w:sz="8" w:space="0" w:color="000000"/>
              <w:start w:val="single" w:sz="8" w:space="0" w:color="000000"/>
              <w:bottom w:val="single" w:sz="8" w:space="0" w:color="000000"/>
              <w:end w:val="single" w:sz="8" w:space="0" w:color="000000"/>
            </w:tcBorders>
          </w:tcPr>
          <w:p>
            <w:pPr>
              <w:pStyle w:val="Normal"/>
              <w:widowControl w:val="false"/>
              <w:autoSpaceDE w:val="false"/>
              <w:spacing w:lineRule="exact" w:line="271" w:before="15" w:after="0"/>
              <w:ind w:start="25" w:end="0"/>
              <w:rPr>
                <w:rFonts w:ascii="Times New Roman" w:hAnsi="Times New Roman" w:eastAsia="Times New Roman" w:cs="Times New Roman"/>
                <w:sz w:val="24"/>
                <w:szCs w:val="24"/>
              </w:rPr>
            </w:pPr>
            <w:r>
              <w:rPr>
                <w:rFonts w:cs="Times New Roman" w:ascii="Times New Roman" w:hAnsi="Times New Roman"/>
                <w:color w:val="000000"/>
                <w:sz w:val="24"/>
                <w:szCs w:val="24"/>
              </w:rPr>
              <w:t xml:space="preserve">Second (Master’s)</w:t>
            </w:r>
          </w:p>
        </w:tc>
      </w:tr>
      <w:tr>
        <w:trPr>
          <w:trHeight w:val="305" w:hRule="atLeast"/>
        </w:trPr>
        <w:tc>
          <w:tcPr>
            <w:tcW w:w="4189" w:type="dxa"/>
            <w:tcBorders>
              <w:top w:val="single" w:sz="8" w:space="0" w:color="000000"/>
              <w:start w:val="single" w:sz="8" w:space="0" w:color="000000"/>
              <w:bottom w:val="single" w:sz="8" w:space="0" w:color="000000"/>
              <w:end w:val="single" w:sz="8" w:space="0" w:color="000000"/>
            </w:tcBorders>
          </w:tcPr>
          <w:p>
            <w:pPr>
              <w:pStyle w:val="Normal"/>
              <w:widowControl w:val="false"/>
              <w:autoSpaceDE w:val="false"/>
              <w:spacing w:lineRule="exact" w:line="271" w:before="15" w:after="0"/>
              <w:ind w:start="85" w:end="0"/>
              <w:rPr>
                <w:rFonts w:ascii="Times New Roman" w:hAnsi="Times New Roman" w:eastAsia="Times New Roman" w:cs="Times New Roman"/>
                <w:b/>
                <w:sz w:val="24"/>
              </w:rPr>
            </w:pPr>
            <w:r>
              <w:rPr>
                <w:rFonts w:eastAsia="Times New Roman" w:cs="Times New Roman" w:ascii="Times New Roman" w:hAnsi="Times New Roman"/>
                <w:b/>
                <w:sz w:val="24"/>
              </w:rPr>
              <w:t xml:space="preserve">Academic year</w:t>
            </w:r>
          </w:p>
        </w:tc>
        <w:tc>
          <w:tcPr>
            <w:tcW w:w="5605" w:type="dxa"/>
            <w:tcBorders>
              <w:top w:val="single" w:sz="8" w:space="0" w:color="000000"/>
              <w:start w:val="single" w:sz="8" w:space="0" w:color="000000"/>
              <w:bottom w:val="single" w:sz="8" w:space="0" w:color="000000"/>
              <w:end w:val="single" w:sz="8" w:space="0" w:color="000000"/>
            </w:tcBorders>
          </w:tcPr>
          <w:p>
            <w:pPr>
              <w:pStyle w:val="Normal"/>
              <w:widowControl w:val="false"/>
              <w:autoSpaceDE w:val="false"/>
              <w:spacing w:lineRule="exact" w:line="271" w:before="15" w:after="0"/>
              <w:ind w:start="25" w:end="0"/>
              <w:rPr>
                <w:rFonts w:ascii="Times New Roman" w:hAnsi="Times New Roman" w:eastAsia="Times New Roman" w:cs="Times New Roman"/>
                <w:sz w:val="24"/>
                <w:szCs w:val="24"/>
              </w:rPr>
            </w:pPr>
            <w:r>
              <w:rPr>
                <w:rFonts w:cs="Times New Roman" w:ascii="Times New Roman" w:hAnsi="Times New Roman"/>
                <w:color w:val="000000"/>
                <w:sz w:val="24"/>
                <w:szCs w:val="24"/>
              </w:rPr>
              <w:t xml:space="preserve">2026-2027</w:t>
            </w:r>
          </w:p>
        </w:tc>
      </w:tr>
      <w:tr>
        <w:trPr>
          <w:trHeight w:val="582" w:hRule="atLeast"/>
        </w:trPr>
        <w:tc>
          <w:tcPr>
            <w:tcW w:w="4189" w:type="dxa"/>
            <w:tcBorders>
              <w:top w:val="single" w:sz="8" w:space="0" w:color="000000"/>
              <w:start w:val="single" w:sz="8" w:space="0" w:color="000000"/>
              <w:bottom w:val="single" w:sz="8" w:space="0" w:color="000000"/>
              <w:end w:val="single" w:sz="8" w:space="0" w:color="000000"/>
            </w:tcBorders>
          </w:tcPr>
          <w:p>
            <w:pPr>
              <w:pStyle w:val="Normal"/>
              <w:widowControl w:val="false"/>
              <w:autoSpaceDE w:val="false"/>
              <w:spacing w:lineRule="auto" w:line="240" w:before="15" w:after="0"/>
              <w:ind w:start="85" w:end="0"/>
              <w:rPr>
                <w:rFonts w:ascii="Times New Roman" w:hAnsi="Times New Roman" w:eastAsia="Times New Roman" w:cs="Times New Roman"/>
                <w:b/>
                <w:sz w:val="24"/>
              </w:rPr>
            </w:pPr>
            <w:r>
              <w:rPr>
                <w:rFonts w:eastAsia="Times New Roman" w:cs="Times New Roman" w:ascii="Times New Roman" w:hAnsi="Times New Roman"/>
                <w:b/>
                <w:sz w:val="24"/>
              </w:rPr>
              <w:t xml:space="preserve">Discipline status</w:t>
            </w:r>
          </w:p>
          <w:p>
            <w:pPr>
              <w:pStyle w:val="Normal"/>
              <w:widowControl w:val="false"/>
              <w:autoSpaceDE w:val="false"/>
              <w:spacing w:lineRule="exact" w:line="271" w:before="0" w:after="0"/>
              <w:ind w:start="25" w:end="0"/>
              <w:rPr>
                <w:rFonts w:ascii="Times New Roman" w:hAnsi="Times New Roman" w:eastAsia="Times New Roman" w:cs="Times New Roman"/>
                <w:sz w:val="24"/>
              </w:rPr>
            </w:pPr>
            <w:r>
              <w:rPr>
                <w:rFonts w:eastAsia="Times New Roman" w:cs="Times New Roman" w:ascii="Times New Roman" w:hAnsi="Times New Roman"/>
                <w:spacing w:val="-2"/>
                <w:sz w:val="24"/>
              </w:rPr>
              <w:t xml:space="preserve">(compulsory / elective)</w:t>
            </w:r>
          </w:p>
        </w:tc>
        <w:tc>
          <w:tcPr>
            <w:tcW w:w="5605" w:type="dxa"/>
            <w:tcBorders>
              <w:top w:val="single" w:sz="8" w:space="0" w:color="000000"/>
              <w:start w:val="single" w:sz="8" w:space="0" w:color="000000"/>
              <w:bottom w:val="single" w:sz="8" w:space="0" w:color="000000"/>
              <w:end w:val="single" w:sz="8" w:space="0" w:color="000000"/>
            </w:tcBorders>
          </w:tcPr>
          <w:p>
            <w:pPr>
              <w:pStyle w:val="Normal"/>
              <w:widowControl w:val="false"/>
              <w:autoSpaceDE w:val="false"/>
              <w:spacing w:lineRule="auto" w:line="240" w:before="15" w:after="0"/>
              <w:ind w:start="25" w:end="0"/>
              <w:rPr>
                <w:rFonts w:ascii="Times New Roman" w:hAnsi="Times New Roman" w:eastAsia="Times New Roman" w:cs="Times New Roman"/>
                <w:sz w:val="24"/>
                <w:szCs w:val="24"/>
              </w:rPr>
            </w:pPr>
            <w:r>
              <w:rPr>
                <w:rFonts w:cs="Times New Roman" w:ascii="Times New Roman" w:hAnsi="Times New Roman"/>
                <w:color w:val="000000"/>
                <w:sz w:val="24"/>
                <w:szCs w:val="24"/>
              </w:rPr>
              <w:t xml:space="preserve">elective</w:t>
            </w:r>
          </w:p>
        </w:tc>
      </w:tr>
      <w:tr>
        <w:trPr>
          <w:trHeight w:val="305" w:hRule="atLeast"/>
        </w:trPr>
        <w:tc>
          <w:tcPr>
            <w:tcW w:w="4189" w:type="dxa"/>
            <w:tcBorders>
              <w:top w:val="single" w:sz="8" w:space="0" w:color="000000"/>
              <w:start w:val="single" w:sz="8" w:space="0" w:color="000000"/>
              <w:bottom w:val="single" w:sz="8" w:space="0" w:color="000000"/>
              <w:end w:val="single" w:sz="8" w:space="0" w:color="000000"/>
            </w:tcBorders>
          </w:tcPr>
          <w:p>
            <w:pPr>
              <w:pStyle w:val="Normal"/>
              <w:widowControl w:val="false"/>
              <w:autoSpaceDE w:val="false"/>
              <w:spacing w:lineRule="exact" w:line="271" w:before="15" w:after="0"/>
              <w:ind w:start="85" w:end="0"/>
              <w:rPr>
                <w:rFonts w:ascii="Times New Roman" w:hAnsi="Times New Roman" w:eastAsia="Times New Roman" w:cs="Times New Roman"/>
                <w:b/>
                <w:sz w:val="24"/>
              </w:rPr>
            </w:pPr>
            <w:r>
              <w:rPr>
                <w:rFonts w:eastAsia="Times New Roman" w:cs="Times New Roman" w:ascii="Times New Roman" w:hAnsi="Times New Roman"/>
                <w:b/>
                <w:sz w:val="24"/>
              </w:rPr>
              <w:t xml:space="preserve">Language of instruction</w:t>
            </w:r>
          </w:p>
        </w:tc>
        <w:tc>
          <w:tcPr>
            <w:tcW w:w="5605" w:type="dxa"/>
            <w:tcBorders>
              <w:top w:val="single" w:sz="8" w:space="0" w:color="000000"/>
              <w:start w:val="single" w:sz="8" w:space="0" w:color="000000"/>
              <w:bottom w:val="single" w:sz="8" w:space="0" w:color="000000"/>
              <w:end w:val="single" w:sz="8" w:space="0" w:color="000000"/>
            </w:tcBorders>
          </w:tcPr>
          <w:p>
            <w:pPr>
              <w:pStyle w:val="Normal"/>
              <w:widowControl w:val="false"/>
              <w:autoSpaceDE w:val="false"/>
              <w:spacing w:lineRule="exact" w:line="271" w:before="15" w:after="0"/>
              <w:ind w:start="25" w:end="0"/>
              <w:rPr>
                <w:rFonts w:ascii="Times New Roman" w:hAnsi="Times New Roman" w:eastAsia="Times New Roman" w:cs="Times New Roman"/>
                <w:sz w:val="24"/>
                <w:szCs w:val="24"/>
              </w:rPr>
            </w:pPr>
            <w:r>
              <w:rPr>
                <w:rFonts w:cs="Times New Roman" w:ascii="Times New Roman" w:hAnsi="Times New Roman"/>
                <w:color w:val="000000"/>
                <w:sz w:val="24"/>
                <w:szCs w:val="24"/>
              </w:rPr>
              <w:t xml:space="preserve">Ukrainian</w:t>
            </w:r>
          </w:p>
        </w:tc>
      </w:tr>
      <w:tr>
        <w:trPr>
          <w:trHeight w:val="306" w:hRule="atLeast"/>
        </w:trPr>
        <w:tc>
          <w:tcPr>
            <w:tcW w:w="4189" w:type="dxa"/>
            <w:tcBorders>
              <w:top w:val="single" w:sz="8" w:space="0" w:color="000000"/>
              <w:start w:val="single" w:sz="8" w:space="0" w:color="000000"/>
              <w:bottom w:val="single" w:sz="8" w:space="0" w:color="000000"/>
              <w:end w:val="single" w:sz="8" w:space="0" w:color="000000"/>
            </w:tcBorders>
          </w:tcPr>
          <w:p>
            <w:pPr>
              <w:pStyle w:val="Normal"/>
              <w:widowControl w:val="false"/>
              <w:autoSpaceDE w:val="false"/>
              <w:spacing w:lineRule="exact" w:line="271" w:before="15" w:after="0"/>
              <w:ind w:start="85" w:end="0"/>
              <w:rPr>
                <w:rFonts w:ascii="Times New Roman" w:hAnsi="Times New Roman" w:eastAsia="Times New Roman" w:cs="Times New Roman"/>
                <w:b/>
                <w:sz w:val="24"/>
              </w:rPr>
            </w:pPr>
            <w:r>
              <w:rPr>
                <w:rFonts w:eastAsia="Times New Roman" w:cs="Times New Roman" w:ascii="Times New Roman" w:hAnsi="Times New Roman"/>
                <w:b/>
                <w:sz w:val="24"/>
              </w:rPr>
              <w:t xml:space="preserve">Total workload</w:t>
            </w:r>
          </w:p>
        </w:tc>
        <w:tc>
          <w:tcPr>
            <w:tcW w:w="5605" w:type="dxa"/>
            <w:tcBorders>
              <w:top w:val="single" w:sz="8" w:space="0" w:color="000000"/>
              <w:start w:val="single" w:sz="8" w:space="0" w:color="000000"/>
              <w:bottom w:val="single" w:sz="8" w:space="0" w:color="000000"/>
              <w:end w:val="single" w:sz="8" w:space="0" w:color="000000"/>
            </w:tcBorders>
          </w:tcPr>
          <w:p>
            <w:pPr>
              <w:pStyle w:val="Normal"/>
              <w:widowControl w:val="false"/>
              <w:autoSpaceDE w:val="false"/>
              <w:spacing w:lineRule="exact" w:line="271" w:before="15" w:after="0"/>
              <w:ind w:start="85" w:end="0"/>
              <w:rPr>
                <w:rFonts w:ascii="Times New Roman" w:hAnsi="Times New Roman" w:eastAsia="Times New Roman" w:cs="Times New Roman"/>
                <w:sz w:val="24"/>
              </w:rPr>
            </w:pPr>
            <w:r>
              <w:rPr>
                <w:rFonts w:eastAsia="Times New Roman" w:cs="Times New Roman" w:ascii="Times New Roman" w:hAnsi="Times New Roman"/>
                <w:sz w:val="24"/>
              </w:rPr>
              <w:t xml:space="preserve">3 ECTS credits (90 hours)</w:t>
            </w:r>
          </w:p>
        </w:tc>
      </w:tr>
      <w:tr>
        <w:trPr>
          <w:trHeight w:val="305" w:hRule="atLeast"/>
        </w:trPr>
        <w:tc>
          <w:tcPr>
            <w:tcW w:w="4189" w:type="dxa"/>
            <w:tcBorders>
              <w:top w:val="single" w:sz="8" w:space="0" w:color="000000"/>
              <w:start w:val="single" w:sz="8" w:space="0" w:color="000000"/>
              <w:bottom w:val="single" w:sz="8" w:space="0" w:color="000000"/>
              <w:end w:val="single" w:sz="8" w:space="0" w:color="000000"/>
            </w:tcBorders>
          </w:tcPr>
          <w:p>
            <w:pPr>
              <w:pStyle w:val="Normal"/>
              <w:widowControl w:val="false"/>
              <w:autoSpaceDE w:val="false"/>
              <w:spacing w:lineRule="exact" w:line="271" w:before="15" w:after="0"/>
              <w:ind w:start="85" w:end="0"/>
              <w:rPr>
                <w:rFonts w:ascii="Times New Roman" w:hAnsi="Times New Roman" w:eastAsia="Times New Roman" w:cs="Times New Roman"/>
                <w:b/>
                <w:sz w:val="24"/>
              </w:rPr>
            </w:pPr>
            <w:r>
              <w:rPr>
                <w:rFonts w:eastAsia="Times New Roman" w:cs="Times New Roman" w:ascii="Times New Roman" w:hAnsi="Times New Roman"/>
                <w:b/>
                <w:sz w:val="24"/>
              </w:rPr>
              <w:t xml:space="preserve">Course / semester</w:t>
            </w:r>
          </w:p>
        </w:tc>
        <w:tc>
          <w:tcPr>
            <w:tcW w:w="5605" w:type="dxa"/>
            <w:tcBorders>
              <w:top w:val="single" w:sz="8" w:space="0" w:color="000000"/>
              <w:start w:val="single" w:sz="8" w:space="0" w:color="000000"/>
              <w:bottom w:val="single" w:sz="8" w:space="0" w:color="000000"/>
              <w:end w:val="single" w:sz="8" w:space="0" w:color="000000"/>
            </w:tcBorders>
          </w:tcPr>
          <w:p>
            <w:pPr>
              <w:pStyle w:val="Normal"/>
              <w:widowControl w:val="false"/>
              <w:autoSpaceDE w:val="false"/>
              <w:spacing w:lineRule="exact" w:line="271" w:before="15" w:after="0"/>
              <w:ind w:start="85" w:end="0"/>
              <w:rPr>
                <w:rFonts w:ascii="Times New Roman" w:hAnsi="Times New Roman" w:eastAsia="Times New Roman" w:cs="Times New Roman"/>
                <w:sz w:val="24"/>
              </w:rPr>
            </w:pPr>
            <w:r>
              <w:rPr>
                <w:rFonts w:eastAsia="Times New Roman" w:cs="Times New Roman" w:ascii="Times New Roman" w:hAnsi="Times New Roman"/>
                <w:sz w:val="24"/>
              </w:rPr>
              <w:t xml:space="preserve">III year / semester 6 (full-time)</w:t>
            </w:r>
          </w:p>
          <w:p>
            <w:pPr>
              <w:pStyle w:val="Normal"/>
              <w:widowControl w:val="false"/>
              <w:autoSpaceDE w:val="false"/>
              <w:spacing w:lineRule="exact" w:line="271" w:before="15" w:after="0"/>
              <w:ind w:start="85" w:end="0"/>
              <w:rPr>
                <w:rFonts w:ascii="Times New Roman" w:hAnsi="Times New Roman" w:eastAsia="Times New Roman" w:cs="Times New Roman"/>
                <w:sz w:val="24"/>
              </w:rPr>
            </w:pPr>
            <w:r>
              <w:rPr>
                <w:rFonts w:eastAsia="Times New Roman" w:cs="Times New Roman" w:ascii="Times New Roman" w:hAnsi="Times New Roman"/>
                <w:sz w:val="24"/>
              </w:rPr>
              <w:t xml:space="preserve">III year (part-time)</w:t>
            </w:r>
          </w:p>
        </w:tc>
      </w:tr>
      <w:tr>
        <w:trPr>
          <w:trHeight w:val="383" w:hRule="atLeast"/>
        </w:trPr>
        <w:tc>
          <w:tcPr>
            <w:tcW w:w="4189" w:type="dxa"/>
            <w:tcBorders>
              <w:top w:val="single" w:sz="8" w:space="0" w:color="000000"/>
              <w:start w:val="single" w:sz="8" w:space="0" w:color="000000"/>
              <w:bottom w:val="single" w:sz="8" w:space="0" w:color="000000"/>
              <w:end w:val="single" w:sz="8" w:space="0" w:color="000000"/>
            </w:tcBorders>
          </w:tcPr>
          <w:p>
            <w:pPr>
              <w:pStyle w:val="Normal"/>
              <w:widowControl w:val="false"/>
              <w:autoSpaceDE w:val="false"/>
              <w:spacing w:lineRule="auto" w:line="240" w:before="0" w:after="0"/>
              <w:ind w:start="85" w:end="0"/>
              <w:rPr>
                <w:rFonts w:ascii="Times New Roman" w:hAnsi="Times New Roman" w:eastAsia="Times New Roman" w:cs="Times New Roman"/>
                <w:b/>
                <w:spacing w:val="-5"/>
                <w:sz w:val="24"/>
              </w:rPr>
            </w:pPr>
            <w:r>
              <w:rPr>
                <w:rFonts w:eastAsia="Times New Roman" w:cs="Times New Roman" w:ascii="Times New Roman" w:hAnsi="Times New Roman"/>
                <w:b/>
                <w:sz w:val="24"/>
              </w:rPr>
              <w:t xml:space="preserve">Compiler</w:t>
            </w:r>
          </w:p>
        </w:tc>
        <w:tc>
          <w:tcPr>
            <w:tcW w:w="5605" w:type="dxa"/>
            <w:tcBorders>
              <w:top w:val="single" w:sz="8" w:space="0" w:color="000000"/>
              <w:start w:val="single" w:sz="8" w:space="0" w:color="000000"/>
              <w:bottom w:val="single" w:sz="8" w:space="0" w:color="000000"/>
              <w:end w:val="single" w:sz="8" w:space="0" w:color="000000"/>
            </w:tcBorders>
          </w:tcPr>
          <w:p>
            <w:pPr>
              <w:pStyle w:val="Normal"/>
              <w:widowControl w:val="false"/>
              <w:autoSpaceDE w:val="false"/>
              <w:spacing w:lineRule="atLeast" w:line="270" w:before="10" w:after="0"/>
              <w:ind w:hanging="15" w:start="53" w:end="709"/>
              <w:rPr>
                <w:rFonts w:ascii="Times New Roman" w:hAnsi="Times New Roman" w:eastAsia="Times New Roman" w:cs="Times New Roman"/>
                <w:sz w:val="24"/>
                <w:szCs w:val="24"/>
              </w:rPr>
            </w:pPr>
            <w:r>
              <w:rPr>
                <w:rFonts w:cs="Times New Roman" w:ascii="Times New Roman" w:hAnsi="Times New Roman"/>
                <w:color w:val="000000"/>
                <w:sz w:val="24"/>
                <w:szCs w:val="24"/>
              </w:rPr>
              <w:t xml:space="preserve">Cand. Pharm. Sc., Assoc. prof. A. S. Voronkina,</w:t>
              <w:br/>
              <w:t xml:space="preserve">Cand. Pharm. Sc., Assoc. prof. T. I. Voitenko</w:t>
            </w:r>
          </w:p>
        </w:tc>
      </w:tr>
      <w:tr>
        <w:trPr>
          <w:trHeight w:val="822" w:hRule="atLeast"/>
        </w:trPr>
        <w:tc>
          <w:tcPr>
            <w:tcW w:w="4189" w:type="dxa"/>
            <w:tcBorders>
              <w:top w:val="single" w:sz="8" w:space="0" w:color="000000"/>
              <w:start w:val="single" w:sz="8" w:space="0" w:color="000000"/>
              <w:bottom w:val="single" w:sz="8" w:space="0" w:color="000000"/>
              <w:end w:val="single" w:sz="8" w:space="0" w:color="000000"/>
            </w:tcBorders>
          </w:tcPr>
          <w:p>
            <w:pPr>
              <w:pStyle w:val="Normal"/>
              <w:widowControl w:val="false"/>
              <w:autoSpaceDE w:val="false"/>
              <w:spacing w:lineRule="auto" w:line="240" w:before="0" w:after="0"/>
              <w:ind w:start="85" w:end="0"/>
              <w:rPr/>
            </w:pPr>
            <w:r>
              <w:rPr>
                <w:rFonts w:eastAsia="Times New Roman" w:cs="Times New Roman" w:ascii="Times New Roman" w:hAnsi="Times New Roman"/>
                <w:b/>
                <w:sz w:val="24"/>
              </w:rPr>
              <w:t xml:space="preserve">Instructor(s), guest lecturers</w:t>
            </w:r>
          </w:p>
          <w:p>
            <w:pPr>
              <w:pStyle w:val="Normal"/>
              <w:widowControl w:val="false"/>
              <w:autoSpaceDE w:val="false"/>
              <w:spacing w:lineRule="auto" w:line="240" w:before="0" w:after="0"/>
              <w:ind w:start="85" w:end="0"/>
              <w:rPr>
                <w:rFonts w:ascii="Times New Roman" w:hAnsi="Times New Roman" w:eastAsia="Times New Roman" w:cs="Times New Roman"/>
                <w:b/>
                <w:spacing w:val="-2"/>
                <w:sz w:val="24"/>
              </w:rPr>
            </w:pPr>
            <w:r>
              <w:rPr>
                <w:rFonts w:eastAsia="Times New Roman" w:cs="Times New Roman" w:ascii="Times New Roman" w:hAnsi="Times New Roman"/>
                <w:b/>
                <w:spacing w:val="-2"/>
                <w:sz w:val="24"/>
              </w:rPr>
            </w:r>
          </w:p>
        </w:tc>
        <w:tc>
          <w:tcPr>
            <w:tcW w:w="5605" w:type="dxa"/>
            <w:tcBorders>
              <w:top w:val="single" w:sz="8" w:space="0" w:color="000000"/>
              <w:start w:val="single" w:sz="8" w:space="0" w:color="000000"/>
              <w:bottom w:val="single" w:sz="8" w:space="0" w:color="000000"/>
              <w:end w:val="single" w:sz="8" w:space="0" w:color="000000"/>
            </w:tcBorders>
          </w:tcPr>
          <w:p>
            <w:pPr>
              <w:pStyle w:val="Normal"/>
              <w:widowControl w:val="false"/>
              <w:autoSpaceDE w:val="false"/>
              <w:spacing w:lineRule="atLeast" w:line="270" w:before="10" w:after="0"/>
              <w:ind w:hanging="15" w:start="53" w:end="709"/>
              <w:rPr>
                <w:rFonts w:ascii="Times New Roman" w:hAnsi="Times New Roman" w:eastAsia="Times New Roman" w:cs="Times New Roman"/>
                <w:sz w:val="24"/>
                <w:szCs w:val="24"/>
              </w:rPr>
            </w:pPr>
            <w:r>
              <w:rPr>
                <w:rFonts w:cs="Times New Roman" w:ascii="Times New Roman" w:hAnsi="Times New Roman"/>
                <w:color w:val="000000"/>
                <w:sz w:val="24"/>
                <w:szCs w:val="24"/>
              </w:rPr>
              <w:t xml:space="preserve">Cand. Pharm. Sc., Assoc. prof. A. S. Voronkina,</w:t>
              <w:br/>
              <w:t xml:space="preserve">Cand. Pharm. Sc., Assoc. prof. T. I. Voitenko</w:t>
            </w:r>
          </w:p>
        </w:tc>
      </w:tr>
      <w:tr>
        <w:trPr>
          <w:trHeight w:val="658" w:hRule="atLeast"/>
        </w:trPr>
        <w:tc>
          <w:tcPr>
            <w:tcW w:w="4189" w:type="dxa"/>
            <w:tcBorders>
              <w:top w:val="single" w:sz="8" w:space="0" w:color="000000"/>
              <w:start w:val="single" w:sz="8" w:space="0" w:color="000000"/>
              <w:bottom w:val="single" w:sz="8" w:space="0" w:color="000000"/>
              <w:end w:val="single" w:sz="8" w:space="0" w:color="000000"/>
            </w:tcBorders>
          </w:tcPr>
          <w:p>
            <w:pPr>
              <w:pStyle w:val="Normal"/>
              <w:widowControl w:val="false"/>
              <w:autoSpaceDE w:val="false"/>
              <w:spacing w:lineRule="auto" w:line="240" w:before="0" w:after="0"/>
              <w:ind w:start="85" w:end="0"/>
              <w:rPr/>
            </w:pPr>
            <w:r>
              <w:rPr>
                <w:rFonts w:eastAsia="Times New Roman" w:cs="Times New Roman" w:ascii="Times New Roman" w:hAnsi="Times New Roman"/>
                <w:b/>
                <w:sz w:val="24"/>
              </w:rPr>
              <w:t xml:space="preserve">Venue, contacts</w:t>
            </w:r>
          </w:p>
          <w:p>
            <w:pPr>
              <w:pStyle w:val="Normal"/>
              <w:widowControl w:val="false"/>
              <w:autoSpaceDE w:val="false"/>
              <w:spacing w:lineRule="auto" w:line="240" w:before="0" w:after="0"/>
              <w:ind w:start="85" w:end="0"/>
              <w:rPr>
                <w:rFonts w:ascii="Times New Roman" w:hAnsi="Times New Roman" w:eastAsia="Times New Roman" w:cs="Times New Roman"/>
                <w:b/>
                <w:spacing w:val="-2"/>
                <w:sz w:val="24"/>
              </w:rPr>
            </w:pPr>
            <w:r>
              <w:rPr>
                <w:rFonts w:eastAsia="Times New Roman" w:cs="Times New Roman" w:ascii="Times New Roman" w:hAnsi="Times New Roman"/>
                <w:b/>
                <w:spacing w:val="-2"/>
                <w:sz w:val="24"/>
              </w:rPr>
            </w:r>
          </w:p>
        </w:tc>
        <w:tc>
          <w:tcPr>
            <w:tcW w:w="5605" w:type="dxa"/>
            <w:tcBorders>
              <w:top w:val="single" w:sz="8" w:space="0" w:color="000000"/>
              <w:start w:val="single" w:sz="8" w:space="0" w:color="000000"/>
              <w:bottom w:val="single" w:sz="8" w:space="0" w:color="000000"/>
              <w:end w:val="single" w:sz="8" w:space="0" w:color="000000"/>
            </w:tcBorders>
          </w:tcPr>
          <w:p>
            <w:pPr>
              <w:pStyle w:val="Style15"/>
              <w:spacing w:before="280" w:after="0"/>
              <w:ind w:start="24" w:end="0"/>
              <w:rPr/>
            </w:pPr>
            <w:hyperlink r:id="rId3">
              <w:r>
                <w:rPr>
                  <w:rStyle w:val="Hyperlink"/>
                  <w:i/>
                  <w:iCs/>
                </w:rPr>
                <w:t>pharmacy@vnmu.edu.ua</w:t>
              </w:r>
            </w:hyperlink>
            <w:r>
              <w:rPr>
                <w:i/>
                <w:iCs/>
                <w:color w:val="000000"/>
              </w:rPr>
              <w:t xml:space="preserve">, 56 Pyrohova St., Vinnytsia, tel. 55 – 39 – 52</w:t>
            </w:r>
          </w:p>
        </w:tc>
      </w:tr>
    </w:tbl>
    <w:p>
      <w:pPr>
        <w:pStyle w:val="Normal"/>
        <w:widowControl w:val="false"/>
        <w:autoSpaceDE w:val="false"/>
        <w:spacing w:lineRule="auto" w:line="240" w:before="5" w:after="0"/>
        <w:rPr>
          <w:rFonts w:ascii="Times New Roman" w:hAnsi="Times New Roman" w:eastAsia="Times New Roman" w:cs="Times New Roman"/>
          <w:b/>
          <w:sz w:val="24"/>
          <w:szCs w:val="24"/>
        </w:rPr>
      </w:pPr>
      <w:r>
        <w:rPr>
          <w:rFonts w:eastAsia="Times New Roman" w:cs="Times New Roman" w:ascii="Times New Roman" w:hAnsi="Times New Roman"/>
          <w:b/>
          <w:sz w:val="24"/>
          <w:szCs w:val="24"/>
        </w:rPr>
      </w:r>
      <w:r>
        <w:br w:type="page"/>
      </w:r>
    </w:p>
    <w:p>
      <w:pPr>
        <w:pStyle w:val="Normal"/>
        <w:widowControl w:val="false"/>
        <w:autoSpaceDE w:val="false"/>
        <w:spacing w:lineRule="auto" w:line="240" w:before="5" w:after="0"/>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numPr>
          <w:ilvl w:val="0"/>
          <w:numId w:val="5"/>
        </w:numPr>
        <w:tabs>
          <w:tab w:val="clear" w:pos="708"/>
          <w:tab w:val="left" w:pos="862" w:leader="none"/>
        </w:tabs>
        <w:autoSpaceDE w:val="false"/>
        <w:spacing w:lineRule="auto" w:line="240" w:before="1" w:after="0"/>
        <w:ind w:firstLine="425" w:start="142" w:end="2"/>
        <w:jc w:val="both"/>
        <w:rPr>
          <w:rFonts w:ascii="Times New Roman" w:hAnsi="Times New Roman" w:eastAsia="Times New Roman" w:cs="Times New Roman"/>
          <w:b/>
          <w:sz w:val="24"/>
        </w:rPr>
      </w:pPr>
      <w:r>
        <w:rPr>
          <w:rFonts w:eastAsia="Times New Roman" w:cs="Times New Roman" w:ascii="Times New Roman" w:hAnsi="Times New Roman"/>
          <w:b/>
          <w:color w:val="0000FF"/>
          <w:sz w:val="24"/>
        </w:rPr>
        <w:t xml:space="preserve">COURSE DESCRIPTION</w:t>
      </w:r>
    </w:p>
    <w:p>
      <w:pPr>
        <w:pStyle w:val="Normal"/>
        <w:widowControl w:val="false"/>
        <w:tabs>
          <w:tab w:val="clear" w:pos="708"/>
          <w:tab w:val="left" w:pos="567" w:leader="none"/>
          <w:tab w:val="left" w:pos="862" w:leader="none"/>
        </w:tabs>
        <w:autoSpaceDE w:val="false"/>
        <w:spacing w:lineRule="auto" w:line="240" w:before="1" w:after="0"/>
        <w:ind w:end="6532"/>
        <w:rPr>
          <w:rFonts w:ascii="Times New Roman" w:hAnsi="Times New Roman" w:eastAsia="Times New Roman" w:cs="Times New Roman"/>
          <w:b/>
          <w:color w:val="0000FF"/>
          <w:spacing w:val="-2"/>
          <w:sz w:val="24"/>
        </w:rPr>
      </w:pPr>
      <w:r>
        <w:rPr>
          <w:rFonts w:eastAsia="Times New Roman" w:cs="Times New Roman" w:ascii="Times New Roman" w:hAnsi="Times New Roman"/>
          <w:b/>
          <w:color w:val="0000FF"/>
          <w:spacing w:val="-2"/>
          <w:sz w:val="24"/>
        </w:rPr>
      </w:r>
    </w:p>
    <w:p>
      <w:pPr>
        <w:pStyle w:val="Normal"/>
        <w:widowControl w:val="false"/>
        <w:tabs>
          <w:tab w:val="clear" w:pos="708"/>
          <w:tab w:val="left" w:pos="567" w:leader="none"/>
          <w:tab w:val="left" w:pos="862" w:leader="none"/>
        </w:tabs>
        <w:autoSpaceDE w:val="false"/>
        <w:spacing w:lineRule="auto" w:line="240" w:before="1" w:after="0"/>
        <w:ind w:end="6532"/>
        <w:rPr>
          <w:rFonts w:ascii="Times New Roman" w:hAnsi="Times New Roman" w:eastAsia="Times New Roman" w:cs="Times New Roman"/>
          <w:b/>
          <w:color w:val="0000FF"/>
          <w:spacing w:val="-2"/>
          <w:sz w:val="24"/>
        </w:rPr>
      </w:pPr>
      <w:r>
        <w:rPr>
          <w:rFonts w:eastAsia="Times New Roman" w:cs="Times New Roman" w:ascii="Times New Roman" w:hAnsi="Times New Roman"/>
          <w:b/>
          <w:color w:val="0000FF"/>
          <w:spacing w:val="-2"/>
          <w:sz w:val="24"/>
        </w:rPr>
        <w:t xml:space="preserve">ANNOTATION</w:t>
      </w:r>
    </w:p>
    <w:p>
      <w:pPr>
        <w:pStyle w:val="Normal"/>
        <w:tabs>
          <w:tab w:val="clear" w:pos="708"/>
          <w:tab w:val="left" w:pos="3300" w:leader="none"/>
        </w:tabs>
        <w:spacing w:lineRule="auto" w:line="240" w:before="0" w:after="16"/>
        <w:ind w:firstLine="567" w:end="0"/>
        <w:jc w:val="both"/>
        <w:rPr>
          <w:rFonts w:ascii="Times New Roman" w:hAnsi="Times New Roman" w:eastAsia="Times New Roman" w:cs="Times New Roman"/>
          <w:color w:val="000000"/>
          <w:sz w:val="24"/>
          <w:szCs w:val="24"/>
          <w:lang w:eastAsia="uk-UA"/>
        </w:rPr>
      </w:pPr>
      <w:r>
        <w:rPr>
          <w:b/>
          <w:rFonts w:eastAsia="Times New Roman" w:cs="Times New Roman" w:ascii="Times New Roman" w:hAnsi="Times New Roman"/>
          <w:sz w:val="24"/>
          <w:szCs w:val="24"/>
        </w:rPr>
        <w:t xml:space="preserve">Brief course annotation, relevance.</w:t>
      </w:r>
      <w:r>
        <w:rPr>
          <w:rFonts w:eastAsia="Times New Roman" w:cs="Times New Roman" w:ascii="Times New Roman" w:hAnsi="Times New Roman"/>
          <w:sz w:val="24"/>
          <w:szCs w:val="24"/>
        </w:rPr>
        <w:t xml:space="preserve"> The subject of the discipline “Pharmaceutical Aspects of Substance Abuse and Drug Addiction” is the effect of psychoactive substances on the human body: mechanisms of action and the formation of dependence, toxic effects, and symptoms of intoxication and acute poisoning. The course also covers epidemiology, diagnosis, prevention and methods of combating alcoholism, drug addiction and substance abuse, the classification of psychoactive substances, and the regulatory documents governing their circulation. The discipline is an elective component of the educational and professional program “Pharmacy”; it comprises 3 ECTS credits (90 hours), which students complete during semester VI of the third year of study.</w:t>
      </w:r>
    </w:p>
    <w:p>
      <w:pPr>
        <w:pStyle w:val="Normal"/>
        <w:widowControl w:val="false"/>
        <w:autoSpaceDE w:val="false"/>
        <w:spacing w:lineRule="auto" w:line="240" w:before="0" w:after="0"/>
        <w:jc w:val="both"/>
        <w:rPr>
          <w:rFonts w:ascii="Times New Roman" w:hAnsi="Times New Roman" w:eastAsia="Times New Roman" w:cs="Times New Roman"/>
          <w:bCs/>
          <w:i/>
          <w:i/>
          <w:sz w:val="24"/>
          <w:szCs w:val="24"/>
        </w:rPr>
      </w:pPr>
      <w:r>
        <w:rPr>
          <w:rFonts w:eastAsia="Times New Roman" w:cs="Times New Roman" w:ascii="Times New Roman" w:hAnsi="Times New Roman"/>
          <w:color w:val="000000"/>
          <w:sz w:val="24"/>
          <w:szCs w:val="24"/>
        </w:rPr>
        <w:t xml:space="preserve">The discipline provides knowledge of narcological toxicology as a branch of clinical toxicology and develops skills in diagnosing intoxication with psychoactive substances and the basic knowledge needed to provide first aid in acute poisoning by toxic agents, as well as the ability to carry out individual and community preventive work and to promote a healthy lifestyle.</w:t>
      </w:r>
    </w:p>
    <w:p>
      <w:pPr>
        <w:pStyle w:val="Normal"/>
        <w:tabs>
          <w:tab w:val="clear" w:pos="708"/>
          <w:tab w:val="left" w:pos="3300" w:leader="none"/>
        </w:tabs>
        <w:spacing w:lineRule="auto" w:line="240" w:before="0" w:after="16"/>
        <w:ind w:firstLine="567" w:end="0"/>
        <w:jc w:val="both"/>
        <w:rPr>
          <w:rFonts w:ascii="Times New Roman" w:hAnsi="Times New Roman" w:eastAsia="Times New Roman" w:cs="Times New Roman"/>
          <w:color w:val="000000"/>
          <w:sz w:val="24"/>
          <w:szCs w:val="24"/>
          <w:lang w:eastAsia="uk-UA"/>
        </w:rPr>
      </w:pPr>
      <w:r>
        <w:rPr>
          <w:b/>
          <w:rFonts w:eastAsia="Times New Roman" w:cs="Times New Roman" w:ascii="Times New Roman" w:hAnsi="Times New Roman"/>
          <w:sz w:val="24"/>
          <w:szCs w:val="24"/>
        </w:rPr>
        <w:t xml:space="preserve">Prerequisites of the educational component.</w:t>
      </w:r>
      <w:r>
        <w:rPr>
          <w:rFonts w:eastAsia="Times New Roman" w:cs="Times New Roman" w:ascii="Times New Roman" w:hAnsi="Times New Roman"/>
          <w:sz w:val="24"/>
          <w:szCs w:val="24"/>
        </w:rPr>
        <w:t xml:space="preserve"> Study of the discipline is based on knowledge obtained in biology with the basics of genetics, human anatomy and physiology, pathological physiology, and inorganic and organic chemistry.</w:t>
      </w:r>
    </w:p>
    <w:p>
      <w:pPr>
        <w:pStyle w:val="Normal"/>
        <w:widowControl w:val="false"/>
        <w:numPr>
          <w:ilvl w:val="0"/>
          <w:numId w:val="0"/>
        </w:numPr>
        <w:autoSpaceDE w:val="false"/>
        <w:spacing w:lineRule="auto" w:line="240" w:before="73" w:after="0"/>
        <w:jc w:val="both"/>
        <w:outlineLvl w:val="0"/>
        <w:rPr>
          <w:rFonts w:ascii="Times New Roman" w:hAnsi="Times New Roman" w:eastAsia="Times New Roman" w:cs="Times New Roman"/>
          <w:b/>
          <w:bCs/>
          <w:color w:val="0000FF"/>
          <w:sz w:val="24"/>
          <w:szCs w:val="24"/>
          <w:lang w:eastAsia="uk-UA"/>
        </w:rPr>
      </w:pPr>
      <w:r>
        <w:rPr>
          <w:rFonts w:eastAsia="Times New Roman" w:cs="Times New Roman" w:ascii="Times New Roman" w:hAnsi="Times New Roman"/>
          <w:b/>
          <w:bCs/>
          <w:color w:val="0000FF"/>
          <w:sz w:val="24"/>
          <w:szCs w:val="24"/>
          <w:lang w:eastAsia="uk-UA"/>
        </w:rPr>
      </w:r>
    </w:p>
    <w:p>
      <w:pPr>
        <w:pStyle w:val="Normal"/>
        <w:widowControl w:val="false"/>
        <w:numPr>
          <w:ilvl w:val="0"/>
          <w:numId w:val="0"/>
        </w:numPr>
        <w:autoSpaceDE w:val="false"/>
        <w:spacing w:lineRule="auto" w:line="240" w:before="73" w:after="0"/>
        <w:jc w:val="both"/>
        <w:outlineLvl w:val="0"/>
        <w:rPr/>
      </w:pPr>
      <w:r>
        <w:rPr>
          <w:rFonts w:eastAsia="Times New Roman" w:cs="Times New Roman" w:ascii="Times New Roman" w:hAnsi="Times New Roman"/>
          <w:b/>
          <w:bCs/>
          <w:color w:val="0000FF"/>
          <w:sz w:val="24"/>
          <w:szCs w:val="24"/>
        </w:rPr>
        <w:t xml:space="preserve">AIM AND OBJECTIVES</w:t>
      </w:r>
    </w:p>
    <w:p>
      <w:pPr>
        <w:pStyle w:val="Normal"/>
        <w:spacing w:lineRule="auto" w:line="240" w:before="0" w:after="16"/>
        <w:contextualSpacing/>
        <w:jc w:val="both"/>
        <w:rPr/>
      </w:pPr>
      <w:r>
        <w:rPr>
          <w:b/>
          <w:rFonts w:eastAsia="Times New Roman" w:cs="Times New Roman" w:ascii="Times New Roman" w:hAnsi="Times New Roman"/>
          <w:color w:val="000000"/>
          <w:sz w:val="24"/>
          <w:szCs w:val="24"/>
        </w:rPr>
        <w:t xml:space="preserve">The aim of teaching the discipline</w:t>
      </w:r>
      <w:r>
        <w:rPr>
          <w:rFonts w:eastAsia="Times New Roman" w:cs="Times New Roman" w:ascii="Times New Roman" w:hAnsi="Times New Roman"/>
          <w:color w:val="000000"/>
          <w:sz w:val="24"/>
          <w:szCs w:val="24"/>
        </w:rPr>
        <w:t xml:space="preserve"> is to study the causes, mechanisms of formation and clinical manifestations of dependence on psychoactive substances (PAS), and the general principles of prevention and treatment of drug addiction, substance abuse (toxicomania) and alcoholism.</w:t>
      </w:r>
    </w:p>
    <w:p>
      <w:pPr>
        <w:pStyle w:val="Normal"/>
        <w:spacing w:lineRule="auto" w:line="240" w:before="0" w:after="16"/>
        <w:contextualSpacing/>
        <w:jc w:val="both"/>
        <w:rPr>
          <w:rFonts w:ascii="Times New Roman" w:hAnsi="Times New Roman" w:eastAsia="Times New Roman" w:cs="Times New Roman"/>
          <w:color w:val="000000"/>
          <w:sz w:val="24"/>
          <w:szCs w:val="24"/>
          <w:lang w:eastAsia="uk-UA"/>
        </w:rPr>
      </w:pPr>
      <w:r>
        <w:rPr>
          <w:rFonts w:eastAsia="Times New Roman" w:cs="Times New Roman" w:ascii="Times New Roman" w:hAnsi="Times New Roman"/>
          <w:color w:val="000000"/>
          <w:sz w:val="24"/>
          <w:szCs w:val="24"/>
        </w:rPr>
        <w:t xml:space="preserve">The main </w:t>
      </w:r>
      <w:r>
        <w:rPr>
          <w:b/>
          <w:rFonts w:eastAsia="Times New Roman" w:cs="Times New Roman" w:ascii="Times New Roman" w:hAnsi="Times New Roman"/>
          <w:color w:val="000000"/>
          <w:sz w:val="24"/>
          <w:szCs w:val="24"/>
        </w:rPr>
        <w:t xml:space="preserve">objectives</w:t>
      </w:r>
      <w:r>
        <w:rPr>
          <w:rFonts w:eastAsia="Times New Roman" w:cs="Times New Roman" w:ascii="Times New Roman" w:hAnsi="Times New Roman"/>
          <w:color w:val="000000"/>
          <w:sz w:val="24"/>
          <w:szCs w:val="24"/>
        </w:rPr>
        <w:t xml:space="preserve"> of studying the discipline “Pharmaceutical Aspects of Substance Abuse and Drug Addiction” are:</w:t>
      </w:r>
    </w:p>
    <w:p>
      <w:pPr>
        <w:pStyle w:val="Normal"/>
        <w:numPr>
          <w:ilvl w:val="0"/>
          <w:numId w:val="6"/>
        </w:numPr>
        <w:shd w:fill="FFFFFF" w:val="clear"/>
        <w:spacing w:lineRule="auto" w:line="240" w:before="0" w:after="0"/>
        <w:ind w:firstLine="142" w:start="709" w:end="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rPr>
        <w:t xml:space="preserve">to become familiar with narcological toxicology as a branch of clinical toxicology and with the concepts of “drug addiction”, “substance abuse (toxicomania)”, “narcotic drugs”, “psychotropic substance” and “precursors”;</w:t>
      </w:r>
    </w:p>
    <w:p>
      <w:pPr>
        <w:pStyle w:val="Normal"/>
        <w:numPr>
          <w:ilvl w:val="0"/>
          <w:numId w:val="6"/>
        </w:numPr>
        <w:shd w:fill="FFFFFF" w:val="clear"/>
        <w:spacing w:lineRule="auto" w:line="240" w:before="0" w:after="0"/>
        <w:ind w:firstLine="142" w:start="709" w:end="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rPr>
        <w:t xml:space="preserve">to become familiar with the chemical and physicochemical properties of organic and inorganic substances and the biochemical transformations that occur in the body under the influence of psychoactive substances and alcohol;</w:t>
      </w:r>
    </w:p>
    <w:p>
      <w:pPr>
        <w:pStyle w:val="Normal"/>
        <w:numPr>
          <w:ilvl w:val="0"/>
          <w:numId w:val="6"/>
        </w:numPr>
        <w:shd w:fill="FFFFFF" w:val="clear"/>
        <w:spacing w:lineRule="auto" w:line="240" w:before="0" w:after="0"/>
        <w:ind w:firstLine="142" w:start="709" w:end="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rPr>
        <w:t xml:space="preserve">to become familiar with the possible routes by which psychoactive substances enter the body, their toxicokinetics and toxicodynamics, the main patterns of behavior of exogenous chemicals in the human body, and the influence of these processes on human health;</w:t>
      </w:r>
    </w:p>
    <w:p>
      <w:pPr>
        <w:pStyle w:val="Normal"/>
        <w:numPr>
          <w:ilvl w:val="0"/>
          <w:numId w:val="6"/>
        </w:numPr>
        <w:shd w:fill="FFFFFF" w:val="clear"/>
        <w:spacing w:lineRule="auto" w:line="240" w:before="0" w:after="0"/>
        <w:ind w:firstLine="142" w:start="709" w:end="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rPr>
        <w:t xml:space="preserve">to become familiar with the system of treatment of drug addiction and substance abuse in Ukraine and worldwide, and with the general principles of prevention of drug addiction, substance abuse and alcoholism;</w:t>
      </w:r>
    </w:p>
    <w:p>
      <w:pPr>
        <w:pStyle w:val="Normal"/>
        <w:numPr>
          <w:ilvl w:val="0"/>
          <w:numId w:val="6"/>
        </w:numPr>
        <w:shd w:fill="FFFFFF" w:val="clear"/>
        <w:spacing w:lineRule="auto" w:line="240" w:before="0" w:after="0"/>
        <w:ind w:firstLine="142" w:start="709" w:end="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rPr>
        <w:t xml:space="preserve">to develop skills in primary diagnosis of narcotic intoxication by external symptoms and in organizing first aid in acute poisoning;</w:t>
      </w:r>
    </w:p>
    <w:p>
      <w:pPr>
        <w:pStyle w:val="Normal"/>
        <w:numPr>
          <w:ilvl w:val="0"/>
          <w:numId w:val="6"/>
        </w:numPr>
        <w:shd w:fill="FFFFFF" w:val="clear"/>
        <w:spacing w:lineRule="auto" w:line="240" w:before="0" w:after="0"/>
        <w:ind w:firstLine="142" w:start="709" w:end="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rPr>
        <w:t xml:space="preserve">to develop skills in carrying out preventive work in the workplace and in society as a whole within the system of combating drug addiction and substance abuse;</w:t>
      </w:r>
    </w:p>
    <w:p>
      <w:pPr>
        <w:pStyle w:val="Normal"/>
        <w:numPr>
          <w:ilvl w:val="0"/>
          <w:numId w:val="6"/>
        </w:numPr>
        <w:shd w:fill="FFFFFF" w:val="clear"/>
        <w:spacing w:lineRule="auto" w:line="240" w:before="0" w:after="0"/>
        <w:ind w:firstLine="142" w:start="709" w:end="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rPr>
        <w:t xml:space="preserve">to teach students to use the acquired knowledge to promote a healthy lifestyle, based on an understanding of the irreversible damage to the body caused by the abuse of narcotic and psychotropic substances.</w:t>
      </w:r>
    </w:p>
    <w:p>
      <w:pPr>
        <w:pStyle w:val="Normal"/>
        <w:spacing w:lineRule="auto" w:line="240" w:before="0" w:after="16"/>
        <w:jc w:val="both"/>
        <w:rPr/>
      </w:pPr>
      <w:r>
        <w:rPr>
          <w:rFonts w:eastAsia="Times New Roman" w:cs="Times New Roman" w:ascii="Times New Roman" w:hAnsi="Times New Roman"/>
          <w:b/>
          <w:color w:val="000000"/>
          <w:sz w:val="24"/>
          <w:szCs w:val="24"/>
        </w:rPr>
        <w:t xml:space="preserve">Competencies and learning outcomes</w:t>
      </w:r>
      <w:r>
        <w:rPr>
          <w:rFonts w:eastAsia="Times New Roman" w:cs="Times New Roman" w:ascii="Times New Roman" w:hAnsi="Times New Roman"/>
          <w:bCs/>
          <w:color w:val="000000"/>
          <w:sz w:val="24"/>
          <w:szCs w:val="24"/>
        </w:rPr>
        <w:t xml:space="preserve">, which the discipline helps to form: </w:t>
      </w:r>
    </w:p>
    <w:p>
      <w:pPr>
        <w:pStyle w:val="Normal"/>
        <w:numPr>
          <w:ilvl w:val="0"/>
          <w:numId w:val="1"/>
        </w:numPr>
        <w:spacing w:lineRule="auto" w:line="240" w:before="0" w:after="16"/>
        <w:jc w:val="both"/>
        <w:rPr>
          <w:rFonts w:ascii="Times New Roman" w:hAnsi="Times New Roman" w:eastAsia="Times New Roman" w:cs="Times New Roman"/>
          <w:i/>
          <w:i/>
          <w:color w:val="000000"/>
          <w:sz w:val="24"/>
          <w:szCs w:val="24"/>
          <w:lang w:eastAsia="uk-UA"/>
        </w:rPr>
      </w:pPr>
      <w:r>
        <w:rPr>
          <w:rFonts w:eastAsia="Times New Roman" w:cs="Times New Roman" w:ascii="Times New Roman" w:hAnsi="Times New Roman"/>
          <w:i/>
          <w:color w:val="000000"/>
          <w:sz w:val="24"/>
          <w:szCs w:val="24"/>
        </w:rPr>
        <w:t xml:space="preserve">integral:</w:t>
      </w:r>
    </w:p>
    <w:p>
      <w:pPr>
        <w:pStyle w:val="Normal"/>
        <w:tabs>
          <w:tab w:val="clear" w:pos="708"/>
          <w:tab w:val="left" w:pos="3300" w:leader="none"/>
        </w:tabs>
        <w:spacing w:lineRule="auto" w:line="240" w:before="0" w:after="16"/>
        <w:ind w:firstLine="567" w:end="0"/>
        <w:jc w:val="both"/>
        <w:rPr>
          <w:rFonts w:ascii="Times New Roman" w:hAnsi="Times New Roman" w:eastAsia="Times New Roman" w:cs="Times New Roman"/>
          <w:bCs/>
          <w:color w:val="000000"/>
          <w:sz w:val="24"/>
          <w:szCs w:val="24"/>
          <w:lang w:eastAsia="uk-UA"/>
        </w:rPr>
      </w:pPr>
      <w:r>
        <w:rPr>
          <w:rFonts w:eastAsia="Times New Roman" w:cs="Times New Roman" w:ascii="Times New Roman" w:hAnsi="Times New Roman"/>
          <w:bCs/>
          <w:color w:val="000000"/>
          <w:sz w:val="24"/>
          <w:szCs w:val="24"/>
        </w:rPr>
        <w:t xml:space="preserve">The ability to solve problems and to comprehend and address practical problems of a research and/or innovative nature in the field of pharmacy.</w:t>
      </w:r>
    </w:p>
    <w:p>
      <w:pPr>
        <w:pStyle w:val="Normal"/>
        <w:numPr>
          <w:ilvl w:val="0"/>
          <w:numId w:val="1"/>
        </w:numPr>
        <w:spacing w:lineRule="auto" w:line="240" w:before="0" w:after="16"/>
        <w:jc w:val="both"/>
        <w:rPr>
          <w:rFonts w:ascii="Times New Roman" w:hAnsi="Times New Roman" w:eastAsia="Times New Roman" w:cs="Times New Roman"/>
          <w:color w:val="000000"/>
          <w:sz w:val="24"/>
          <w:szCs w:val="24"/>
          <w:lang w:eastAsia="uk-UA"/>
        </w:rPr>
      </w:pPr>
      <w:r>
        <w:rPr>
          <w:rFonts w:eastAsia="Times New Roman" w:cs="Times New Roman" w:ascii="Times New Roman" w:hAnsi="Times New Roman"/>
          <w:bCs/>
          <w:i/>
          <w:iCs/>
          <w:color w:val="000000"/>
          <w:sz w:val="24"/>
          <w:szCs w:val="24"/>
        </w:rPr>
        <w:t xml:space="preserve">general competences (GC)</w:t>
      </w:r>
      <w:r>
        <w:rPr>
          <w:rFonts w:eastAsia="Times New Roman" w:cs="Times New Roman" w:ascii="Times New Roman" w:hAnsi="Times New Roman"/>
          <w:color w:val="000000"/>
          <w:sz w:val="24"/>
          <w:szCs w:val="24"/>
        </w:rPr>
        <w:t xml:space="preserve">:</w:t>
      </w:r>
    </w:p>
    <w:p>
      <w:pPr>
        <w:pStyle w:val="Normal"/>
        <w:tabs>
          <w:tab w:val="clear" w:pos="708"/>
          <w:tab w:val="left" w:pos="3300" w:leader="none"/>
        </w:tabs>
        <w:spacing w:lineRule="auto" w:line="240" w:before="0" w:after="16"/>
        <w:ind w:firstLine="567" w:end="0"/>
        <w:jc w:val="both"/>
        <w:rPr>
          <w:rFonts w:ascii="Times New Roman" w:hAnsi="Times New Roman" w:eastAsia="Times New Roman" w:cs="Times New Roman"/>
          <w:color w:val="000000"/>
          <w:sz w:val="24"/>
          <w:szCs w:val="24"/>
          <w:lang w:eastAsia="uk-UA"/>
        </w:rPr>
      </w:pPr>
      <w:r>
        <w:rPr>
          <w:rFonts w:eastAsia="Times New Roman" w:cs="Times New Roman" w:ascii="Times New Roman" w:hAnsi="Times New Roman"/>
          <w:color w:val="000000"/>
          <w:sz w:val="24"/>
          <w:szCs w:val="24"/>
        </w:rPr>
        <w:t xml:space="preserve">GC 02. Ability for abstract thinking, analysis and synthesis.</w:t>
      </w:r>
    </w:p>
    <w:p>
      <w:pPr>
        <w:pStyle w:val="Normal"/>
        <w:tabs>
          <w:tab w:val="clear" w:pos="708"/>
          <w:tab w:val="left" w:pos="3300" w:leader="none"/>
        </w:tabs>
        <w:spacing w:lineRule="auto" w:line="240" w:before="0" w:after="16"/>
        <w:ind w:firstLine="567" w:end="0"/>
        <w:jc w:val="both"/>
        <w:rPr>
          <w:rFonts w:ascii="Times New Roman" w:hAnsi="Times New Roman" w:eastAsia="Times New Roman" w:cs="Times New Roman"/>
          <w:color w:val="000000"/>
          <w:sz w:val="24"/>
          <w:szCs w:val="24"/>
          <w:lang w:eastAsia="uk-UA"/>
        </w:rPr>
      </w:pPr>
      <w:r>
        <w:rPr>
          <w:rFonts w:eastAsia="Times New Roman" w:cs="Times New Roman" w:ascii="Times New Roman" w:hAnsi="Times New Roman"/>
          <w:color w:val="000000"/>
          <w:sz w:val="24"/>
          <w:szCs w:val="24"/>
        </w:rPr>
        <w:t xml:space="preserve">GC 03. Knowledge and understanding of the subject area and understanding of the profession.</w:t>
      </w:r>
    </w:p>
    <w:p>
      <w:pPr>
        <w:pStyle w:val="Normal"/>
        <w:tabs>
          <w:tab w:val="clear" w:pos="708"/>
          <w:tab w:val="left" w:pos="3300" w:leader="none"/>
        </w:tabs>
        <w:spacing w:lineRule="auto" w:line="240" w:before="0" w:after="16"/>
        <w:ind w:firstLine="567" w:end="0"/>
        <w:jc w:val="both"/>
        <w:rPr>
          <w:rFonts w:ascii="Times New Roman" w:hAnsi="Times New Roman" w:eastAsia="Times New Roman" w:cs="Times New Roman"/>
          <w:color w:val="000000"/>
          <w:sz w:val="24"/>
          <w:szCs w:val="24"/>
          <w:lang w:eastAsia="uk-UA"/>
        </w:rPr>
      </w:pPr>
      <w:r>
        <w:rPr>
          <w:rFonts w:eastAsia="Times New Roman" w:cs="Times New Roman" w:ascii="Times New Roman" w:hAnsi="Times New Roman"/>
          <w:color w:val="000000"/>
          <w:sz w:val="24"/>
          <w:szCs w:val="24"/>
        </w:rPr>
        <w:t xml:space="preserve">GC 05. Ability to communicate in the state language both orally and in writing; ability to communicate in a foreign language (mainly English) at a level that ensures effective professional activity.</w:t>
      </w:r>
    </w:p>
    <w:p>
      <w:pPr>
        <w:pStyle w:val="Normal"/>
        <w:tabs>
          <w:tab w:val="clear" w:pos="708"/>
          <w:tab w:val="left" w:pos="3300" w:leader="none"/>
        </w:tabs>
        <w:spacing w:lineRule="auto" w:line="240" w:before="0" w:after="16"/>
        <w:ind w:firstLine="567" w:end="0"/>
        <w:jc w:val="both"/>
        <w:rPr>
          <w:rFonts w:ascii="Times New Roman" w:hAnsi="Times New Roman" w:eastAsia="Times New Roman" w:cs="Times New Roman"/>
          <w:color w:val="000000"/>
          <w:sz w:val="24"/>
          <w:szCs w:val="24"/>
          <w:lang w:eastAsia="uk-UA"/>
        </w:rPr>
      </w:pPr>
      <w:r>
        <w:rPr>
          <w:rFonts w:eastAsia="Times New Roman" w:cs="Times New Roman" w:ascii="Times New Roman" w:hAnsi="Times New Roman"/>
          <w:color w:val="000000"/>
          <w:sz w:val="24"/>
          <w:szCs w:val="24"/>
        </w:rPr>
        <w:t xml:space="preserve">GC 06. Skills in using information and communication technologies.</w:t>
      </w:r>
    </w:p>
    <w:p>
      <w:pPr>
        <w:pStyle w:val="Normal"/>
        <w:tabs>
          <w:tab w:val="clear" w:pos="708"/>
          <w:tab w:val="left" w:pos="3300" w:leader="none"/>
        </w:tabs>
        <w:spacing w:lineRule="auto" w:line="240" w:before="0" w:after="16"/>
        <w:ind w:firstLine="567" w:end="0"/>
        <w:jc w:val="both"/>
        <w:rPr>
          <w:rFonts w:ascii="Times New Roman" w:hAnsi="Times New Roman" w:eastAsia="Times New Roman" w:cs="Times New Roman"/>
          <w:color w:val="000000"/>
          <w:sz w:val="24"/>
          <w:szCs w:val="24"/>
          <w:lang w:eastAsia="uk-UA"/>
        </w:rPr>
      </w:pPr>
      <w:r>
        <w:rPr>
          <w:rFonts w:eastAsia="Times New Roman" w:cs="Times New Roman" w:ascii="Times New Roman" w:hAnsi="Times New Roman"/>
          <w:color w:val="000000"/>
          <w:sz w:val="24"/>
          <w:szCs w:val="24"/>
        </w:rPr>
        <w:t xml:space="preserve">GC 08. Ability to assess and ensure the quality of work performed.</w:t>
      </w:r>
    </w:p>
    <w:p>
      <w:pPr>
        <w:pStyle w:val="Normal"/>
        <w:tabs>
          <w:tab w:val="clear" w:pos="708"/>
          <w:tab w:val="left" w:pos="3300" w:leader="none"/>
        </w:tabs>
        <w:spacing w:lineRule="auto" w:line="240" w:before="0" w:after="16"/>
        <w:ind w:firstLine="567" w:end="0"/>
        <w:jc w:val="both"/>
        <w:rPr>
          <w:rFonts w:ascii="Times New Roman" w:hAnsi="Times New Roman" w:eastAsia="Times New Roman" w:cs="Times New Roman"/>
          <w:color w:val="000000"/>
          <w:sz w:val="24"/>
          <w:szCs w:val="24"/>
          <w:lang w:eastAsia="uk-UA"/>
        </w:rPr>
      </w:pPr>
      <w:r>
        <w:rPr>
          <w:rFonts w:eastAsia="Times New Roman" w:cs="Times New Roman" w:ascii="Times New Roman" w:hAnsi="Times New Roman"/>
          <w:color w:val="000000"/>
          <w:sz w:val="24"/>
          <w:szCs w:val="24"/>
        </w:rPr>
        <w:t xml:space="preserve">GC 09. Ability to conduct research at an appropriate level.</w:t>
      </w:r>
    </w:p>
    <w:p>
      <w:pPr>
        <w:pStyle w:val="Normal"/>
        <w:tabs>
          <w:tab w:val="clear" w:pos="708"/>
          <w:tab w:val="left" w:pos="3300" w:leader="none"/>
        </w:tabs>
        <w:spacing w:lineRule="auto" w:line="240" w:before="0" w:after="16"/>
        <w:ind w:firstLine="567" w:end="0"/>
        <w:jc w:val="both"/>
        <w:rPr>
          <w:rFonts w:ascii="Times New Roman" w:hAnsi="Times New Roman" w:eastAsia="Times New Roman" w:cs="Times New Roman"/>
          <w:color w:val="000000"/>
          <w:sz w:val="24"/>
          <w:szCs w:val="24"/>
          <w:lang w:eastAsia="uk-UA"/>
        </w:rPr>
      </w:pPr>
      <w:r>
        <w:rPr>
          <w:rFonts w:eastAsia="Times New Roman" w:cs="Times New Roman" w:ascii="Times New Roman" w:hAnsi="Times New Roman"/>
          <w:color w:val="000000"/>
          <w:sz w:val="24"/>
          <w:szCs w:val="24"/>
        </w:rPr>
        <w:t xml:space="preserve">GC 10. Ability to exercise one’s rights and duties as a member of society, to be aware of the values of a civil (free democratic) society and the need for its sustainable development, the rule of law, and the rights and freedoms of the individual and citizen in Ukraine.</w:t>
      </w:r>
    </w:p>
    <w:p>
      <w:pPr>
        <w:pStyle w:val="Normal"/>
        <w:tabs>
          <w:tab w:val="clear" w:pos="708"/>
          <w:tab w:val="left" w:pos="3300" w:leader="none"/>
        </w:tabs>
        <w:spacing w:lineRule="auto" w:line="240" w:before="0" w:after="16"/>
        <w:ind w:firstLine="567" w:end="0"/>
        <w:jc w:val="both"/>
        <w:rPr>
          <w:rFonts w:ascii="Times New Roman" w:hAnsi="Times New Roman" w:eastAsia="Times New Roman" w:cs="Times New Roman"/>
          <w:color w:val="000000"/>
          <w:sz w:val="24"/>
          <w:szCs w:val="24"/>
          <w:lang w:eastAsia="uk-UA"/>
        </w:rPr>
      </w:pPr>
      <w:r>
        <w:rPr>
          <w:rFonts w:eastAsia="Times New Roman" w:cs="Times New Roman" w:ascii="Times New Roman" w:hAnsi="Times New Roman"/>
          <w:color w:val="000000"/>
          <w:sz w:val="24"/>
          <w:szCs w:val="24"/>
        </w:rPr>
        <w:t xml:space="preserve">GC 11. Ability to preserve and enhance the moral, cultural and scientific values and achievements of society based on an understanding of the history and patterns of development of the subject area, its place in the general system of knowledge about nature and society and in the development of society, technology and engineering, and to use various types and forms of physical activity for active recreation and a healthy lifestyle.</w:t>
      </w:r>
    </w:p>
    <w:p>
      <w:pPr>
        <w:pStyle w:val="Normal"/>
        <w:numPr>
          <w:ilvl w:val="0"/>
          <w:numId w:val="1"/>
        </w:numPr>
        <w:spacing w:lineRule="auto" w:line="240" w:before="0" w:after="16"/>
        <w:jc w:val="both"/>
        <w:rPr>
          <w:rFonts w:ascii="Times New Roman" w:hAnsi="Times New Roman" w:eastAsia="Times New Roman" w:cs="Times New Roman"/>
          <w:b/>
          <w:bCs/>
          <w:color w:val="000000"/>
          <w:sz w:val="24"/>
          <w:szCs w:val="24"/>
          <w:lang w:eastAsia="uk-UA"/>
        </w:rPr>
      </w:pPr>
      <w:r>
        <w:rPr>
          <w:rFonts w:eastAsia="Times New Roman" w:cs="Times New Roman" w:ascii="Times New Roman" w:hAnsi="Times New Roman"/>
          <w:i/>
          <w:color w:val="000000"/>
          <w:sz w:val="24"/>
          <w:szCs w:val="24"/>
        </w:rPr>
        <w:t xml:space="preserve">special (professional, subject-specific) competences</w:t>
      </w:r>
      <w:r>
        <w:rPr>
          <w:rFonts w:eastAsia="Times New Roman" w:cs="Times New Roman" w:ascii="Times New Roman" w:hAnsi="Times New Roman"/>
          <w:color w:val="000000"/>
          <w:sz w:val="24"/>
          <w:szCs w:val="24"/>
        </w:rPr>
        <w:t xml:space="preserve"> (SC):</w:t>
      </w:r>
    </w:p>
    <w:p>
      <w:pPr>
        <w:pStyle w:val="Normal"/>
        <w:tabs>
          <w:tab w:val="clear" w:pos="708"/>
          <w:tab w:val="left" w:pos="3300" w:leader="none"/>
        </w:tabs>
        <w:spacing w:lineRule="auto" w:line="240" w:before="0" w:after="16"/>
        <w:ind w:firstLine="567" w:end="0"/>
        <w:jc w:val="both"/>
        <w:rPr/>
      </w:pPr>
      <w:r>
        <w:rPr>
          <w:rFonts w:eastAsia="Times New Roman" w:cs="Times New Roman" w:ascii="Times New Roman" w:hAnsi="Times New Roman"/>
          <w:color w:val="000000"/>
          <w:sz w:val="24"/>
          <w:szCs w:val="24"/>
        </w:rPr>
        <w:t xml:space="preserve">SC 01. Ability to collect, interpret and apply data necessary for professional activity, for conducting research and for implementing innovative projects in the field of pharmacy.</w:t>
      </w:r>
    </w:p>
    <w:p>
      <w:pPr>
        <w:pStyle w:val="Normal"/>
        <w:tabs>
          <w:tab w:val="clear" w:pos="708"/>
          <w:tab w:val="left" w:pos="3300" w:leader="none"/>
        </w:tabs>
        <w:spacing w:lineRule="auto" w:line="240" w:before="0" w:after="16"/>
        <w:ind w:firstLine="567" w:end="0"/>
        <w:jc w:val="both"/>
        <w:rPr/>
      </w:pPr>
      <w:r>
        <w:rPr>
          <w:rFonts w:eastAsia="Times New Roman" w:cs="Times New Roman" w:ascii="Times New Roman" w:hAnsi="Times New Roman"/>
          <w:color w:val="000000"/>
          <w:sz w:val="24"/>
          <w:szCs w:val="24"/>
        </w:rPr>
        <w:t xml:space="preserve">SC 02. Ability to integrate knowledge and solve complex problems of pharmacy in broad or multidisciplinary contexts.</w:t>
      </w:r>
    </w:p>
    <w:p>
      <w:pPr>
        <w:pStyle w:val="Normal"/>
        <w:tabs>
          <w:tab w:val="clear" w:pos="708"/>
          <w:tab w:val="left" w:pos="3300" w:leader="none"/>
        </w:tabs>
        <w:spacing w:lineRule="auto" w:line="240" w:before="0" w:after="16"/>
        <w:ind w:firstLine="567" w:end="0"/>
        <w:jc w:val="both"/>
        <w:rPr/>
      </w:pPr>
      <w:r>
        <w:rPr>
          <w:rFonts w:eastAsia="Times New Roman" w:cs="Times New Roman" w:ascii="Times New Roman" w:hAnsi="Times New Roman"/>
          <w:color w:val="000000"/>
          <w:sz w:val="24"/>
          <w:szCs w:val="24"/>
        </w:rPr>
        <w:t xml:space="preserve">SC 04. Ability to use in professional activity knowledge of the regulatory and legislative acts of Ukraine and the recommendations of good pharmaceutical practices.</w:t>
      </w:r>
    </w:p>
    <w:p>
      <w:pPr>
        <w:pStyle w:val="Normal"/>
        <w:tabs>
          <w:tab w:val="clear" w:pos="708"/>
          <w:tab w:val="left" w:pos="3300" w:leader="none"/>
        </w:tabs>
        <w:spacing w:lineRule="auto" w:line="240" w:before="0" w:after="16"/>
        <w:ind w:firstLine="567" w:end="0"/>
        <w:jc w:val="both"/>
        <w:rPr/>
      </w:pPr>
      <w:r>
        <w:rPr>
          <w:rFonts w:eastAsia="Times New Roman" w:cs="Times New Roman" w:ascii="Times New Roman" w:hAnsi="Times New Roman"/>
          <w:color w:val="000000"/>
          <w:sz w:val="24"/>
          <w:szCs w:val="24"/>
        </w:rPr>
        <w:t xml:space="preserve">SC 05. Ability to demonstrate and apply in practice communication skills and the fundamental principles of pharmaceutical ethics and deontology based on moral obligations and values, ethical standards of professional conduct and responsibility in accordance with the Code of Ethics of Pharmaceutical Workers of Ukraine and WHO guidelines.</w:t>
      </w:r>
    </w:p>
    <w:p>
      <w:pPr>
        <w:pStyle w:val="Normal"/>
        <w:tabs>
          <w:tab w:val="clear" w:pos="708"/>
          <w:tab w:val="left" w:pos="3300" w:leader="none"/>
        </w:tabs>
        <w:spacing w:lineRule="auto" w:line="240" w:before="0" w:after="16"/>
        <w:ind w:firstLine="567" w:end="0"/>
        <w:jc w:val="both"/>
        <w:rPr/>
      </w:pPr>
      <w:r>
        <w:rPr>
          <w:rFonts w:eastAsia="Times New Roman" w:cs="Times New Roman" w:ascii="Times New Roman" w:hAnsi="Times New Roman"/>
          <w:color w:val="000000"/>
          <w:sz w:val="24"/>
          <w:szCs w:val="24"/>
        </w:rPr>
        <w:t xml:space="preserve">SC 06. Ability to convey one’s own knowledge, conclusions and arguments in the field of pharmacy clearly and unambiguously to specialists and non-specialists, including students.</w:t>
      </w:r>
    </w:p>
    <w:p>
      <w:pPr>
        <w:pStyle w:val="Normal"/>
        <w:tabs>
          <w:tab w:val="clear" w:pos="708"/>
          <w:tab w:val="left" w:pos="3300" w:leader="none"/>
        </w:tabs>
        <w:spacing w:lineRule="auto" w:line="240" w:before="0" w:after="16"/>
        <w:ind w:firstLine="567" w:end="0"/>
        <w:jc w:val="both"/>
        <w:rPr/>
      </w:pPr>
      <w:r>
        <w:rPr>
          <w:rFonts w:eastAsia="Times New Roman" w:cs="Times New Roman" w:ascii="Times New Roman" w:hAnsi="Times New Roman"/>
          <w:color w:val="000000"/>
          <w:sz w:val="24"/>
          <w:szCs w:val="24"/>
        </w:rPr>
        <w:t xml:space="preserve">SC 07. Ability to carry out health education among the population aimed at preventing common diseases and dangerous infectious, viral and parasitic diseases, and at promoting timely detection of these diseases and adherence to their treatment in accordance with their medical, biological and microbiological characteristics.</w:t>
      </w:r>
    </w:p>
    <w:p>
      <w:pPr>
        <w:pStyle w:val="Normal"/>
        <w:tabs>
          <w:tab w:val="clear" w:pos="708"/>
          <w:tab w:val="left" w:pos="3300" w:leader="none"/>
        </w:tabs>
        <w:spacing w:lineRule="auto" w:line="240" w:before="0" w:after="16"/>
        <w:ind w:firstLine="567" w:end="0"/>
        <w:jc w:val="both"/>
        <w:rPr/>
      </w:pPr>
      <w:r>
        <w:rPr>
          <w:rFonts w:eastAsia="Times New Roman" w:cs="Times New Roman" w:ascii="Times New Roman" w:hAnsi="Times New Roman"/>
          <w:color w:val="000000"/>
          <w:sz w:val="24"/>
          <w:szCs w:val="24"/>
        </w:rPr>
        <w:t xml:space="preserve">SC 08. Ability to provide first aid to patients and victims in extreme situations and emergency conditions.</w:t>
      </w:r>
    </w:p>
    <w:p>
      <w:pPr>
        <w:pStyle w:val="Normal"/>
        <w:tabs>
          <w:tab w:val="clear" w:pos="708"/>
          <w:tab w:val="left" w:pos="3300" w:leader="none"/>
        </w:tabs>
        <w:spacing w:lineRule="auto" w:line="240" w:before="0" w:after="16"/>
        <w:ind w:firstLine="567" w:end="0"/>
        <w:jc w:val="both"/>
        <w:rPr/>
      </w:pPr>
      <w:r>
        <w:rPr>
          <w:rFonts w:eastAsia="Times New Roman" w:cs="Times New Roman" w:ascii="Times New Roman" w:hAnsi="Times New Roman"/>
          <w:color w:val="000000"/>
          <w:sz w:val="24"/>
          <w:szCs w:val="24"/>
        </w:rPr>
        <w:t xml:space="preserve">SC 09. Ability to provide consultation on prescription and over-the-counter medicines and other pharmacy products and on aspects of healthy nutrition, and pharmaceutical care in the selection and dispensing of natural and synthetic medicines by assessing the risk/benefit ratio and compatibility, taking into account their biopharmaceutical, pharmacokinetic, pharmacodynamic, physicochemical and chemical features and indications/contraindications for use, guided by data on the health status of the particular patient.</w:t>
      </w:r>
    </w:p>
    <w:p>
      <w:pPr>
        <w:pStyle w:val="Normal"/>
        <w:tabs>
          <w:tab w:val="clear" w:pos="708"/>
          <w:tab w:val="left" w:pos="3300" w:leader="none"/>
        </w:tabs>
        <w:spacing w:lineRule="auto" w:line="240" w:before="0" w:after="16"/>
        <w:ind w:firstLine="567" w:end="0"/>
        <w:jc w:val="both"/>
        <w:rPr/>
      </w:pPr>
      <w:r>
        <w:rPr>
          <w:rFonts w:eastAsia="Times New Roman" w:cs="Times New Roman" w:ascii="Times New Roman" w:hAnsi="Times New Roman"/>
          <w:color w:val="000000"/>
          <w:sz w:val="24"/>
          <w:szCs w:val="24"/>
        </w:rPr>
        <w:t xml:space="preserve">SC 10. Ability to monitor the efficacy and safety of medicines used by the population according to data on their clinical and pharmaceutical characteristics.</w:t>
      </w:r>
    </w:p>
    <w:p>
      <w:pPr>
        <w:pStyle w:val="Normal"/>
        <w:widowControl w:val="false"/>
        <w:autoSpaceDE w:val="false"/>
        <w:spacing w:lineRule="auto" w:line="240" w:before="0" w:after="0"/>
        <w:jc w:val="both"/>
        <w:rPr>
          <w:rFonts w:ascii="Times New Roman" w:hAnsi="Times New Roman" w:eastAsia="Times New Roman" w:cs="Times New Roman"/>
          <w:sz w:val="24"/>
          <w:szCs w:val="24"/>
        </w:rPr>
      </w:pPr>
      <w:r>
        <w:rPr>
          <w:b/>
          <w:rFonts w:eastAsia="Times New Roman" w:cs="Times New Roman" w:ascii="Times New Roman" w:hAnsi="Times New Roman"/>
          <w:sz w:val="24"/>
          <w:szCs w:val="24"/>
        </w:rPr>
        <w:t xml:space="preserve">Post-requisites.</w:t>
      </w:r>
      <w:r>
        <w:rPr>
          <w:rFonts w:eastAsia="Times New Roman" w:cs="Times New Roman" w:ascii="Times New Roman" w:hAnsi="Times New Roman"/>
          <w:sz w:val="24"/>
          <w:szCs w:val="24"/>
        </w:rPr>
        <w:t xml:space="preserve"> The discipline is integrated with pharmacognosy, pharmaceutical chemistry, pharmacology and the course “Adverse Drug Reactions”. The acquired knowledge and skills are necessary for further study of clinical pharmacy and pharmaceutical care, pharmacotherapy with pharmacokinetics, medicinal toxicology, phytotherapy, the course “Factors and Mechanisms of Pharmacological Activity and Toxicity of Drugs at the Stages of Pharmacokinetics”, etc.</w:t>
      </w:r>
    </w:p>
    <w:p>
      <w:pPr>
        <w:pStyle w:val="Normal"/>
        <w:widowControl w:val="false"/>
        <w:autoSpaceDE w:val="false"/>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numPr>
          <w:ilvl w:val="0"/>
          <w:numId w:val="5"/>
        </w:numPr>
        <w:tabs>
          <w:tab w:val="clear" w:pos="708"/>
          <w:tab w:val="left" w:pos="862" w:leader="none"/>
        </w:tabs>
        <w:autoSpaceDE w:val="false"/>
        <w:spacing w:lineRule="auto" w:line="240" w:before="0" w:after="0"/>
        <w:ind w:hanging="360" w:start="862" w:end="0"/>
        <w:jc w:val="both"/>
        <w:outlineLvl w:val="0"/>
        <w:rPr>
          <w:rFonts w:ascii="Times New Roman" w:hAnsi="Times New Roman" w:eastAsia="Times New Roman" w:cs="Times New Roman"/>
          <w:b/>
          <w:bCs/>
          <w:sz w:val="24"/>
          <w:szCs w:val="24"/>
        </w:rPr>
      </w:pPr>
      <w:r>
        <w:rPr>
          <w:rFonts w:eastAsia="Times New Roman" w:cs="Times New Roman" w:ascii="Times New Roman" w:hAnsi="Times New Roman"/>
          <w:b/>
          <w:bCs/>
          <w:color w:val="0000FF"/>
          <w:sz w:val="24"/>
          <w:szCs w:val="24"/>
        </w:rPr>
        <w:t xml:space="preserve">LEARNING OUTCOMES</w:t>
      </w:r>
    </w:p>
    <w:p>
      <w:pPr>
        <w:pStyle w:val="Normal"/>
        <w:widowControl w:val="false"/>
        <w:autoSpaceDE w:val="false"/>
        <w:spacing w:lineRule="auto" w:line="240" w:before="0" w:after="0"/>
        <w:ind w:start="862" w:end="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After successful completion of the discipline, the student will be able to:</w:t>
      </w:r>
    </w:p>
    <w:p>
      <w:pPr>
        <w:pStyle w:val="Normal"/>
        <w:spacing w:lineRule="auto" w:line="240" w:before="0" w:after="16"/>
        <w:ind w:firstLine="567" w:end="0"/>
        <w:jc w:val="both"/>
        <w:rPr>
          <w:rFonts w:ascii="Times New Roman" w:hAnsi="Times New Roman" w:eastAsia="Times New Roman" w:cs="Times New Roman"/>
          <w:color w:val="000000"/>
          <w:sz w:val="24"/>
          <w:szCs w:val="24"/>
          <w:lang w:eastAsia="uk-UA"/>
        </w:rPr>
      </w:pPr>
      <w:r>
        <w:rPr>
          <w:rFonts w:eastAsia="Times New Roman" w:cs="Times New Roman" w:ascii="Times New Roman" w:hAnsi="Times New Roman"/>
          <w:color w:val="000000"/>
          <w:sz w:val="24"/>
          <w:szCs w:val="24"/>
        </w:rPr>
        <w:t xml:space="preserve">PLO 01. Apply specialized knowledge and skills from general and professional disciplines in professional activity.</w:t>
      </w:r>
    </w:p>
    <w:p>
      <w:pPr>
        <w:pStyle w:val="Normal"/>
        <w:spacing w:lineRule="auto" w:line="240" w:before="0" w:after="16"/>
        <w:ind w:firstLine="567" w:end="0"/>
        <w:jc w:val="both"/>
        <w:rPr>
          <w:rFonts w:ascii="Times New Roman" w:hAnsi="Times New Roman" w:eastAsia="Times New Roman" w:cs="Times New Roman"/>
          <w:color w:val="000000"/>
          <w:sz w:val="24"/>
          <w:szCs w:val="24"/>
          <w:lang w:eastAsia="uk-UA"/>
        </w:rPr>
      </w:pPr>
      <w:r>
        <w:rPr>
          <w:rFonts w:eastAsia="Times New Roman" w:cs="Times New Roman" w:ascii="Times New Roman" w:hAnsi="Times New Roman"/>
          <w:color w:val="000000"/>
          <w:sz w:val="24"/>
          <w:szCs w:val="24"/>
        </w:rPr>
        <w:t xml:space="preserve">PLO 02. Critically comprehend scientific and applied problems in the field of pharmacy.</w:t>
      </w:r>
    </w:p>
    <w:p>
      <w:pPr>
        <w:pStyle w:val="Normal"/>
        <w:spacing w:lineRule="auto" w:line="240" w:before="0" w:after="16"/>
        <w:ind w:firstLine="567" w:end="0"/>
        <w:jc w:val="both"/>
        <w:rPr>
          <w:rFonts w:ascii="Times New Roman" w:hAnsi="Times New Roman" w:eastAsia="Times New Roman" w:cs="Times New Roman"/>
          <w:color w:val="000000"/>
          <w:sz w:val="24"/>
          <w:szCs w:val="24"/>
          <w:lang w:eastAsia="uk-UA"/>
        </w:rPr>
      </w:pPr>
      <w:r>
        <w:rPr>
          <w:rFonts w:eastAsia="Times New Roman" w:cs="Times New Roman" w:ascii="Times New Roman" w:hAnsi="Times New Roman"/>
          <w:color w:val="000000"/>
          <w:sz w:val="24"/>
          <w:szCs w:val="24"/>
        </w:rPr>
        <w:t xml:space="preserve">PLO 03. Assess and ensure the quality and efficiency of activities in the field of pharmacy.</w:t>
      </w:r>
    </w:p>
    <w:p>
      <w:pPr>
        <w:pStyle w:val="Normal"/>
        <w:spacing w:lineRule="auto" w:line="240" w:before="0" w:after="16"/>
        <w:ind w:firstLine="567" w:end="0"/>
        <w:jc w:val="both"/>
        <w:rPr>
          <w:rFonts w:ascii="Times New Roman" w:hAnsi="Times New Roman" w:eastAsia="Times New Roman" w:cs="Times New Roman"/>
          <w:color w:val="000000"/>
          <w:sz w:val="24"/>
          <w:szCs w:val="24"/>
          <w:lang w:eastAsia="uk-UA"/>
        </w:rPr>
      </w:pPr>
      <w:r>
        <w:rPr>
          <w:rFonts w:eastAsia="Times New Roman" w:cs="Times New Roman" w:ascii="Times New Roman" w:hAnsi="Times New Roman"/>
          <w:color w:val="000000"/>
          <w:sz w:val="24"/>
          <w:szCs w:val="24"/>
        </w:rPr>
        <w:t xml:space="preserve">PLO 04. Comply with sanitary and hygienic regulations and safety requirements in professional activity.</w:t>
      </w:r>
    </w:p>
    <w:p>
      <w:pPr>
        <w:pStyle w:val="Normal"/>
        <w:spacing w:lineRule="auto" w:line="240" w:before="0" w:after="16"/>
        <w:ind w:firstLine="567" w:end="0"/>
        <w:jc w:val="both"/>
        <w:rPr>
          <w:rFonts w:ascii="Times New Roman" w:hAnsi="Times New Roman" w:eastAsia="Times New Roman" w:cs="Times New Roman"/>
          <w:color w:val="000000"/>
          <w:sz w:val="24"/>
          <w:szCs w:val="24"/>
          <w:lang w:eastAsia="uk-UA"/>
        </w:rPr>
      </w:pPr>
      <w:r>
        <w:rPr>
          <w:rFonts w:eastAsia="Times New Roman" w:cs="Times New Roman" w:ascii="Times New Roman" w:hAnsi="Times New Roman"/>
          <w:color w:val="000000"/>
          <w:sz w:val="24"/>
          <w:szCs w:val="24"/>
        </w:rPr>
        <w:t xml:space="preserve">PLO 05. Plan and carry out professional activity on the basis of the regulatory acts of Ukraine and the recommendations of good pharmaceutical practices.</w:t>
      </w:r>
    </w:p>
    <w:p>
      <w:pPr>
        <w:pStyle w:val="Normal"/>
        <w:spacing w:lineRule="auto" w:line="240" w:before="0" w:after="16"/>
        <w:ind w:firstLine="567" w:end="0"/>
        <w:jc w:val="both"/>
        <w:rPr>
          <w:rFonts w:ascii="Times New Roman" w:hAnsi="Times New Roman" w:eastAsia="Times New Roman" w:cs="Times New Roman"/>
          <w:color w:val="000000"/>
          <w:sz w:val="24"/>
          <w:szCs w:val="24"/>
          <w:lang w:eastAsia="uk-UA"/>
        </w:rPr>
      </w:pPr>
      <w:r>
        <w:rPr>
          <w:rFonts w:eastAsia="Times New Roman" w:cs="Times New Roman" w:ascii="Times New Roman" w:hAnsi="Times New Roman"/>
          <w:color w:val="000000"/>
          <w:sz w:val="24"/>
          <w:szCs w:val="24"/>
        </w:rPr>
        <w:t xml:space="preserve">PLO 06. Communicate professionally in the state language, use oral communication skills in a foreign language, analyze professional texts and translate foreign-language information sources.</w:t>
      </w:r>
    </w:p>
    <w:p>
      <w:pPr>
        <w:pStyle w:val="Normal"/>
        <w:spacing w:lineRule="auto" w:line="240" w:before="0" w:after="16"/>
        <w:ind w:firstLine="567" w:end="0"/>
        <w:jc w:val="both"/>
        <w:rPr>
          <w:rFonts w:ascii="Times New Roman" w:hAnsi="Times New Roman" w:eastAsia="Times New Roman" w:cs="Times New Roman"/>
          <w:color w:val="000000"/>
          <w:sz w:val="24"/>
          <w:szCs w:val="24"/>
          <w:lang w:eastAsia="uk-UA"/>
        </w:rPr>
      </w:pPr>
      <w:r>
        <w:rPr>
          <w:rFonts w:eastAsia="Times New Roman" w:cs="Times New Roman" w:ascii="Times New Roman" w:hAnsi="Times New Roman"/>
          <w:color w:val="000000"/>
          <w:sz w:val="24"/>
          <w:szCs w:val="24"/>
        </w:rPr>
        <w:t xml:space="preserve">PLO 07. Demonstrate the ability to independently search for, analyze and synthesize information from various sources, including professional literature, patents and databases; to evaluate it, in particular using statistical analysis; and to apply these results to solve typical and complex specialized tasks of professional activity, including the development and manufacture of medicines.</w:t>
      </w:r>
    </w:p>
    <w:p>
      <w:pPr>
        <w:pStyle w:val="Normal"/>
        <w:spacing w:lineRule="auto" w:line="240" w:before="0" w:after="16"/>
        <w:ind w:firstLine="567" w:end="0"/>
        <w:jc w:val="both"/>
        <w:rPr>
          <w:rFonts w:ascii="Times New Roman" w:hAnsi="Times New Roman" w:eastAsia="Times New Roman" w:cs="Times New Roman"/>
          <w:color w:val="000000"/>
          <w:sz w:val="24"/>
          <w:szCs w:val="24"/>
          <w:lang w:eastAsia="uk-UA"/>
        </w:rPr>
      </w:pPr>
      <w:r>
        <w:rPr>
          <w:rFonts w:eastAsia="Times New Roman" w:cs="Times New Roman" w:ascii="Times New Roman" w:hAnsi="Times New Roman"/>
          <w:color w:val="000000"/>
          <w:sz w:val="24"/>
          <w:szCs w:val="24"/>
        </w:rPr>
        <w:t xml:space="preserve">PLO 08. Develop and make effective decisions to solve complex/comprehensive problems of pharmacy, both individually and as a result of joint discussion; formulate the goals of one’s own activity and of the team, taking into account social and production interests, the general strategy and existing constraints, and determine the optimal ways to achieve the goals.</w:t>
      </w:r>
    </w:p>
    <w:p>
      <w:pPr>
        <w:pStyle w:val="Normal"/>
        <w:spacing w:lineRule="auto" w:line="240" w:before="0" w:after="16"/>
        <w:ind w:firstLine="567" w:end="0"/>
        <w:jc w:val="both"/>
        <w:rPr>
          <w:rFonts w:ascii="Times New Roman" w:hAnsi="Times New Roman" w:eastAsia="Times New Roman" w:cs="Times New Roman"/>
          <w:color w:val="000000"/>
          <w:sz w:val="24"/>
          <w:szCs w:val="24"/>
          <w:lang w:eastAsia="uk-UA"/>
        </w:rPr>
      </w:pPr>
      <w:r>
        <w:rPr>
          <w:rFonts w:eastAsia="Times New Roman" w:cs="Times New Roman" w:ascii="Times New Roman" w:hAnsi="Times New Roman"/>
          <w:color w:val="000000"/>
          <w:sz w:val="24"/>
          <w:szCs w:val="24"/>
        </w:rPr>
        <w:t xml:space="preserve">PLO 10. Carry out health education in professional activity during outbreaks of infectious, viral and parasitic diseases.</w:t>
      </w:r>
    </w:p>
    <w:p>
      <w:pPr>
        <w:pStyle w:val="Normal"/>
        <w:spacing w:lineRule="auto" w:line="240" w:before="0" w:after="16"/>
        <w:ind w:firstLine="567" w:end="0"/>
        <w:jc w:val="both"/>
        <w:rPr>
          <w:rFonts w:ascii="Times New Roman" w:hAnsi="Times New Roman" w:eastAsia="Times New Roman" w:cs="Times New Roman"/>
          <w:color w:val="000000"/>
          <w:sz w:val="24"/>
          <w:szCs w:val="24"/>
          <w:lang w:eastAsia="uk-UA"/>
        </w:rPr>
      </w:pPr>
      <w:r>
        <w:rPr>
          <w:rFonts w:eastAsia="Times New Roman" w:cs="Times New Roman" w:ascii="Times New Roman" w:hAnsi="Times New Roman"/>
          <w:color w:val="000000"/>
          <w:sz w:val="24"/>
          <w:szCs w:val="24"/>
        </w:rPr>
        <w:t xml:space="preserve">PLO 11. Provide first aid to patients in emergency conditions and to victims in extreme situations.</w:t>
      </w:r>
    </w:p>
    <w:p>
      <w:pPr>
        <w:pStyle w:val="Normal"/>
        <w:spacing w:lineRule="auto" w:line="240" w:before="0" w:after="16"/>
        <w:ind w:firstLine="567" w:end="0"/>
        <w:jc w:val="both"/>
        <w:rPr>
          <w:rFonts w:ascii="Times New Roman" w:hAnsi="Times New Roman" w:eastAsia="Times New Roman" w:cs="Times New Roman"/>
          <w:color w:val="000000"/>
          <w:sz w:val="24"/>
          <w:szCs w:val="24"/>
          <w:lang w:eastAsia="uk-UA"/>
        </w:rPr>
      </w:pPr>
      <w:r>
        <w:rPr>
          <w:rFonts w:eastAsia="Times New Roman" w:cs="Times New Roman" w:ascii="Times New Roman" w:hAnsi="Times New Roman"/>
          <w:color w:val="000000"/>
          <w:sz w:val="24"/>
          <w:szCs w:val="24"/>
        </w:rPr>
        <w:t xml:space="preserve">PLO 12. Promote the preservation of health, in particular the prevention of diseases and the rational prescription and use of medicines. Conscientiously perform professional duties and comply with legislation on the promotion and advertising of medicines. Possess psychological communication skills to achieve trust and mutual understanding with colleagues, doctors, patients and consumers.</w:t>
      </w:r>
    </w:p>
    <w:p>
      <w:pPr>
        <w:pStyle w:val="Normal"/>
        <w:spacing w:lineRule="auto" w:line="240" w:before="0" w:after="16"/>
        <w:ind w:firstLine="567" w:end="0"/>
        <w:jc w:val="both"/>
        <w:rPr>
          <w:rFonts w:ascii="Times New Roman" w:hAnsi="Times New Roman" w:eastAsia="Times New Roman" w:cs="Times New Roman"/>
          <w:color w:val="000000"/>
          <w:sz w:val="24"/>
          <w:szCs w:val="24"/>
          <w:lang w:eastAsia="uk-UA"/>
        </w:rPr>
      </w:pPr>
      <w:r>
        <w:rPr>
          <w:rFonts w:eastAsia="Times New Roman" w:cs="Times New Roman" w:ascii="Times New Roman" w:hAnsi="Times New Roman"/>
          <w:color w:val="000000"/>
          <w:sz w:val="24"/>
          <w:szCs w:val="24"/>
        </w:rPr>
        <w:t xml:space="preserve">PLO 14. Determine the advantages and disadvantages of medicines of various pharmacological groups, taking into account their chemical, physicochemical, biopharmaceutical, pharmacokinetic and pharmacodynamic features. Recommend over-the-counter medicines and other pharmacy products to consumers, providing advisory assistance and pharmaceutical care.</w:t>
      </w:r>
    </w:p>
    <w:p>
      <w:pPr>
        <w:pStyle w:val="Normal"/>
        <w:spacing w:lineRule="auto" w:line="240" w:before="0" w:after="16"/>
        <w:ind w:firstLine="567" w:end="0"/>
        <w:jc w:val="both"/>
        <w:rPr>
          <w:rFonts w:ascii="Times New Roman" w:hAnsi="Times New Roman" w:eastAsia="Times New Roman" w:cs="Times New Roman"/>
          <w:color w:val="000000"/>
          <w:sz w:val="24"/>
          <w:szCs w:val="24"/>
          <w:lang w:eastAsia="uk-UA"/>
        </w:rPr>
      </w:pPr>
      <w:r>
        <w:rPr>
          <w:rFonts w:eastAsia="Times New Roman" w:cs="Times New Roman" w:ascii="Times New Roman" w:hAnsi="Times New Roman"/>
          <w:color w:val="000000"/>
          <w:sz w:val="24"/>
          <w:szCs w:val="24"/>
        </w:rPr>
        <w:t xml:space="preserve">PLO 15. Formulate and argue, and convey clearly and specifically to specialists and non-specialists, including students of higher education, information based on one’s own knowledge and professional experience and on the main trends in the development of world pharmacy and related fields.</w:t>
      </w:r>
    </w:p>
    <w:p>
      <w:pPr>
        <w:pStyle w:val="Normal"/>
        <w:spacing w:lineRule="auto" w:line="240" w:before="0" w:after="16"/>
        <w:ind w:firstLine="567" w:end="0"/>
        <w:jc w:val="both"/>
        <w:rPr>
          <w:rFonts w:ascii="Times New Roman" w:hAnsi="Times New Roman" w:eastAsia="Times New Roman" w:cs="Times New Roman"/>
          <w:color w:val="000000"/>
          <w:sz w:val="24"/>
          <w:szCs w:val="24"/>
          <w:lang w:eastAsia="uk-UA"/>
        </w:rPr>
      </w:pPr>
      <w:r>
        <w:rPr>
          <w:rFonts w:eastAsia="Times New Roman" w:cs="Times New Roman" w:ascii="Times New Roman" w:hAnsi="Times New Roman"/>
          <w:color w:val="000000"/>
          <w:sz w:val="24"/>
          <w:szCs w:val="24"/>
        </w:rPr>
        <w:t xml:space="preserve">PLO 16. Record cases of adverse effects when using natural and synthetic medicines; assess factors that may influence the processes of absorption, distribution, deposition, metabolism and excretion of medicines and that are determined by the condition and characteristics of the human body and the pharmaceutical characteristics of the medicines.</w:t>
      </w:r>
    </w:p>
    <w:p>
      <w:pPr>
        <w:pStyle w:val="Normal"/>
        <w:widowControl w:val="false"/>
        <w:autoSpaceDE w:val="false"/>
        <w:spacing w:lineRule="auto" w:line="240" w:before="0" w:after="0"/>
        <w:ind w:start="862" w:end="0"/>
        <w:rPr>
          <w:rFonts w:ascii="Times New Roman" w:hAnsi="Times New Roman" w:eastAsia="Times New Roman" w:cs="Times New Roman"/>
          <w:sz w:val="24"/>
          <w:szCs w:val="24"/>
        </w:rPr>
      </w:pPr>
      <w:r>
        <w:rPr>
          <w:b/>
          <w:rFonts w:eastAsia="Times New Roman" w:cs="Times New Roman" w:ascii="Times New Roman" w:hAnsi="Times New Roman"/>
          <w:sz w:val="24"/>
          <w:szCs w:val="24"/>
        </w:rPr>
        <w:t xml:space="preserve">Learning outcomes for the discipline. As a result of studying the discipline, the student must know:</w:t>
      </w:r>
    </w:p>
    <w:p>
      <w:pPr>
        <w:pStyle w:val="Normal"/>
        <w:numPr>
          <w:ilvl w:val="0"/>
          <w:numId w:val="6"/>
        </w:numPr>
        <w:shd w:fill="FFFFFF" w:val="clear"/>
        <w:spacing w:lineRule="auto" w:line="240" w:before="0" w:after="0"/>
        <w:ind w:firstLine="142" w:start="709" w:end="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rPr>
        <w:t xml:space="preserve">the definitions of the concepts “drug addiction”, “substance abuse (toxicomania)”, “narcotic drugs”, “psychotropic substance” and “precursors”;</w:t>
      </w:r>
    </w:p>
    <w:p>
      <w:pPr>
        <w:pStyle w:val="Normal"/>
        <w:numPr>
          <w:ilvl w:val="0"/>
          <w:numId w:val="6"/>
        </w:numPr>
        <w:shd w:fill="FFFFFF" w:val="clear"/>
        <w:spacing w:lineRule="auto" w:line="240" w:before="0" w:after="0"/>
        <w:ind w:firstLine="142" w:start="709" w:end="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rPr>
        <w:t xml:space="preserve">the chemical and physicochemical properties of organic and inorganic substances and the biochemical transformations that occur in the body under the influence of psychoactive substances and alcohol;</w:t>
      </w:r>
    </w:p>
    <w:p>
      <w:pPr>
        <w:pStyle w:val="Normal"/>
        <w:numPr>
          <w:ilvl w:val="0"/>
          <w:numId w:val="6"/>
        </w:numPr>
        <w:shd w:fill="FFFFFF" w:val="clear"/>
        <w:spacing w:lineRule="auto" w:line="240" w:before="0" w:after="0"/>
        <w:ind w:firstLine="142" w:start="709" w:end="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rPr>
        <w:t xml:space="preserve">the possible routes by which psychoactive compounds enter the body;</w:t>
      </w:r>
    </w:p>
    <w:p>
      <w:pPr>
        <w:pStyle w:val="Normal"/>
        <w:numPr>
          <w:ilvl w:val="0"/>
          <w:numId w:val="6"/>
        </w:numPr>
        <w:shd w:fill="FFFFFF" w:val="clear"/>
        <w:spacing w:lineRule="auto" w:line="240" w:before="0" w:after="0"/>
        <w:ind w:firstLine="142" w:start="709" w:end="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rPr>
        <w:t xml:space="preserve">toxicokinetics and toxicodynamics, the main patterns of behavior of exogenous chemicals in the human body, and the influence of these processes on the results of chemical and toxicological analysis;</w:t>
      </w:r>
    </w:p>
    <w:p>
      <w:pPr>
        <w:pStyle w:val="Normal"/>
        <w:numPr>
          <w:ilvl w:val="0"/>
          <w:numId w:val="6"/>
        </w:numPr>
        <w:shd w:fill="FFFFFF" w:val="clear"/>
        <w:spacing w:lineRule="auto" w:line="240" w:before="0" w:after="0"/>
        <w:ind w:firstLine="142" w:start="709" w:end="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rPr>
        <w:t xml:space="preserve">the system of treatment of drug addiction and substance abuse in Ukraine and worldwide, and the general principles of prevention of drug addiction, substance abuse and alcoholism.</w:t>
      </w:r>
    </w:p>
    <w:p>
      <w:pPr>
        <w:pStyle w:val="Normal"/>
        <w:widowControl w:val="false"/>
        <w:autoSpaceDE w:val="false"/>
        <w:spacing w:lineRule="auto" w:line="240" w:before="0" w:after="0"/>
        <w:ind w:start="862" w:end="0"/>
        <w:rPr>
          <w:rFonts w:ascii="Times New Roman" w:hAnsi="Times New Roman" w:eastAsia="Times New Roman" w:cs="Times New Roman"/>
          <w:sz w:val="24"/>
          <w:szCs w:val="24"/>
        </w:rPr>
      </w:pPr>
      <w:r>
        <w:rPr>
          <w:b/>
          <w:rFonts w:eastAsia="Times New Roman" w:cs="Times New Roman" w:ascii="Times New Roman" w:hAnsi="Times New Roman"/>
          <w:sz w:val="24"/>
          <w:szCs w:val="24"/>
        </w:rPr>
        <w:t xml:space="preserve">be able to:</w:t>
      </w:r>
    </w:p>
    <w:p>
      <w:pPr>
        <w:pStyle w:val="Normal"/>
        <w:numPr>
          <w:ilvl w:val="0"/>
          <w:numId w:val="6"/>
        </w:numPr>
        <w:shd w:fill="FFFFFF" w:val="clear"/>
        <w:spacing w:lineRule="auto" w:line="240" w:before="0" w:after="0"/>
        <w:ind w:firstLine="142" w:start="709" w:end="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rPr>
        <w:t xml:space="preserve">carry out primary diagnosis of narcotic intoxication by external symptoms;</w:t>
      </w:r>
    </w:p>
    <w:p>
      <w:pPr>
        <w:pStyle w:val="Normal"/>
        <w:numPr>
          <w:ilvl w:val="0"/>
          <w:numId w:val="6"/>
        </w:numPr>
        <w:shd w:fill="FFFFFF" w:val="clear"/>
        <w:spacing w:lineRule="auto" w:line="240" w:before="0" w:after="0"/>
        <w:ind w:firstLine="142" w:start="709" w:end="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rPr>
        <w:t xml:space="preserve">organize and provide first aid in acute poisoning;</w:t>
      </w:r>
    </w:p>
    <w:p>
      <w:pPr>
        <w:pStyle w:val="Normal"/>
        <w:numPr>
          <w:ilvl w:val="0"/>
          <w:numId w:val="6"/>
        </w:numPr>
        <w:shd w:fill="FFFFFF" w:val="clear"/>
        <w:spacing w:lineRule="auto" w:line="240" w:before="0" w:after="0"/>
        <w:ind w:firstLine="142" w:start="709" w:end="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rPr>
        <w:t xml:space="preserve">correctly select objects for chemical and toxicological analysis in intoxications with various groups of narcotic and psychotropic substances, taking into account the main patterns of their behavior in the body (routes of entry, distribution, accumulation, metabolism and excretion);</w:t>
      </w:r>
    </w:p>
    <w:p>
      <w:pPr>
        <w:pStyle w:val="Normal"/>
        <w:numPr>
          <w:ilvl w:val="0"/>
          <w:numId w:val="6"/>
        </w:numPr>
        <w:shd w:fill="FFFFFF" w:val="clear"/>
        <w:spacing w:lineRule="auto" w:line="240" w:before="0" w:after="0"/>
        <w:ind w:firstLine="142" w:start="709" w:end="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rPr>
        <w:t xml:space="preserve">use the acquired knowledge to promote a healthy lifestyle, based on an understanding of the irreversible damage to the body caused by the abuse of narcotic and psychotropic substances.</w:t>
      </w:r>
    </w:p>
    <w:p>
      <w:pPr>
        <w:pStyle w:val="Normal"/>
        <w:widowControl w:val="false"/>
        <w:autoSpaceDE w:val="false"/>
        <w:spacing w:lineRule="auto" w:line="240" w:before="0" w:after="0"/>
        <w:rPr>
          <w:rFonts w:ascii="Times New Roman" w:hAnsi="Times New Roman" w:eastAsia="Times New Roman" w:cs="Times New Roman"/>
          <w:b/>
          <w:color w:val="FF0000"/>
          <w:sz w:val="20"/>
          <w:szCs w:val="20"/>
          <w:lang w:eastAsia="uk-UA"/>
        </w:rPr>
      </w:pPr>
      <w:r>
        <w:rPr>
          <w:rFonts w:eastAsia="Times New Roman" w:cs="Times New Roman" w:ascii="Times New Roman" w:hAnsi="Times New Roman"/>
          <w:b/>
          <w:color w:val="FF0000"/>
          <w:sz w:val="20"/>
          <w:szCs w:val="20"/>
          <w:lang w:eastAsia="uk-UA"/>
        </w:rPr>
      </w:r>
    </w:p>
    <w:p>
      <w:pPr>
        <w:pStyle w:val="Normal"/>
        <w:widowControl w:val="false"/>
        <w:autoSpaceDE w:val="false"/>
        <w:spacing w:lineRule="auto" w:line="240" w:before="0" w:after="0"/>
        <w:rPr>
          <w:rFonts w:ascii="Times New Roman" w:hAnsi="Times New Roman" w:eastAsia="Times New Roman" w:cs="Times New Roman"/>
          <w:color w:val="FF0000"/>
          <w:sz w:val="20"/>
          <w:szCs w:val="20"/>
        </w:rPr>
      </w:pPr>
      <w:r>
        <w:rPr>
          <w:rFonts w:eastAsia="Times New Roman" w:cs="Times New Roman" w:ascii="Times New Roman" w:hAnsi="Times New Roman"/>
          <w:color w:val="FF0000"/>
          <w:sz w:val="20"/>
          <w:szCs w:val="20"/>
        </w:rPr>
      </w:r>
    </w:p>
    <w:p>
      <w:pPr>
        <w:pStyle w:val="Normal"/>
        <w:widowControl w:val="false"/>
        <w:numPr>
          <w:ilvl w:val="0"/>
          <w:numId w:val="5"/>
        </w:numPr>
        <w:tabs>
          <w:tab w:val="clear" w:pos="708"/>
          <w:tab w:val="left" w:pos="851" w:leader="none"/>
        </w:tabs>
        <w:autoSpaceDE w:val="false"/>
        <w:spacing w:lineRule="auto" w:line="240" w:before="1" w:after="0"/>
        <w:ind w:firstLine="567" w:start="644" w:end="0"/>
        <w:jc w:val="both"/>
        <w:rPr>
          <w:rFonts w:ascii="Times New Roman" w:hAnsi="Times New Roman" w:eastAsia="Times New Roman" w:cs="Times New Roman"/>
          <w:b/>
          <w:color w:val="000000"/>
          <w:sz w:val="24"/>
        </w:rPr>
      </w:pPr>
      <w:r>
        <w:rPr>
          <w:rFonts w:eastAsia="Times New Roman" w:cs="Times New Roman" w:ascii="Times New Roman" w:hAnsi="Times New Roman"/>
          <w:b/>
          <w:color w:val="000000"/>
          <w:sz w:val="24"/>
        </w:rPr>
        <w:t xml:space="preserve">FORMS OF ORGANIZATION OF THE EDUCATIONAL PROCESS AND THEIR VOLUME</w:t>
      </w:r>
    </w:p>
    <w:p>
      <w:pPr>
        <w:pStyle w:val="Normal"/>
        <w:widowControl w:val="false"/>
        <w:tabs>
          <w:tab w:val="clear" w:pos="708"/>
          <w:tab w:val="left" w:pos="862" w:leader="none"/>
        </w:tabs>
        <w:autoSpaceDE w:val="false"/>
        <w:spacing w:lineRule="auto" w:line="240" w:before="1" w:after="0"/>
        <w:ind w:start="862" w:end="0"/>
        <w:rPr>
          <w:rFonts w:ascii="Times New Roman" w:hAnsi="Times New Roman" w:eastAsia="Times New Roman" w:cs="Times New Roman"/>
          <w:b/>
          <w:color w:val="000000"/>
          <w:sz w:val="24"/>
        </w:rPr>
      </w:pPr>
      <w:r>
        <w:rPr>
          <w:rFonts w:eastAsia="Times New Roman" w:cs="Times New Roman" w:ascii="Times New Roman" w:hAnsi="Times New Roman"/>
          <w:b/>
          <w:color w:val="000000"/>
          <w:sz w:val="24"/>
        </w:rPr>
      </w:r>
    </w:p>
    <w:tbl>
      <w:tblPr>
        <w:tblW w:w="9889" w:type="dxa"/>
        <w:jc w:val="start"/>
        <w:tblInd w:w="34" w:type="dxa"/>
        <w:tblLayout w:type="fixed"/>
        <w:tblCellMar>
          <w:top w:w="0" w:type="dxa"/>
          <w:start w:w="0" w:type="dxa"/>
          <w:bottom w:w="0" w:type="dxa"/>
          <w:end w:w="0" w:type="dxa"/>
        </w:tblCellMar>
      </w:tblPr>
      <w:tblGrid>
        <w:gridCol w:w="2943"/>
        <w:gridCol w:w="3544"/>
        <w:gridCol w:w="3402"/>
      </w:tblGrid>
      <w:tr>
        <w:trPr>
          <w:trHeight w:val="139" w:hRule="atLeast"/>
        </w:trPr>
        <w:tc>
          <w:tcPr>
            <w:tcW w:w="2943" w:type="dxa"/>
            <w:vMerge w:val="restart"/>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exact" w:line="256" w:before="0" w:after="0"/>
              <w:ind w:start="10" w:end="2"/>
              <w:jc w:val="center"/>
              <w:rPr>
                <w:rFonts w:ascii="Times New Roman" w:hAnsi="Times New Roman" w:eastAsia="Times New Roman" w:cs="Times New Roman"/>
                <w:b/>
                <w:sz w:val="24"/>
              </w:rPr>
            </w:pPr>
            <w:r>
              <w:rPr>
                <w:rFonts w:eastAsia="Times New Roman" w:cs="Times New Roman" w:ascii="Times New Roman" w:hAnsi="Times New Roman"/>
                <w:b/>
                <w:sz w:val="24"/>
              </w:rPr>
              <w:t xml:space="preserve">Type of classes</w:t>
            </w:r>
          </w:p>
        </w:tc>
        <w:tc>
          <w:tcPr>
            <w:tcW w:w="6946" w:type="dxa"/>
            <w:gridSpan w:val="2"/>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exact" w:line="256" w:before="0" w:after="0"/>
              <w:ind w:start="9" w:end="0"/>
              <w:jc w:val="center"/>
              <w:rPr>
                <w:rFonts w:ascii="Times New Roman" w:hAnsi="Times New Roman" w:eastAsia="Times New Roman" w:cs="Times New Roman"/>
                <w:b/>
                <w:sz w:val="24"/>
              </w:rPr>
            </w:pPr>
            <w:r>
              <w:rPr>
                <w:rFonts w:eastAsia="Times New Roman" w:cs="Times New Roman" w:ascii="Times New Roman" w:hAnsi="Times New Roman"/>
                <w:b/>
                <w:spacing w:val="-2"/>
                <w:sz w:val="24"/>
              </w:rPr>
              <w:t xml:space="preserve">Hours</w:t>
            </w:r>
          </w:p>
        </w:tc>
      </w:tr>
      <w:tr>
        <w:trPr>
          <w:trHeight w:val="139" w:hRule="atLeast"/>
        </w:trPr>
        <w:tc>
          <w:tcPr>
            <w:tcW w:w="2943" w:type="dxa"/>
            <w:vMerge w:val="continue"/>
            <w:tcBorders>
              <w:top w:val="single" w:sz="4" w:space="0" w:color="000000"/>
              <w:start w:val="single" w:sz="4" w:space="0" w:color="000000"/>
              <w:bottom w:val="single" w:sz="4" w:space="0" w:color="000000"/>
              <w:end w:val="single" w:sz="4" w:space="0" w:color="000000"/>
            </w:tcBorders>
          </w:tcPr>
          <w:p>
            <w:pPr>
              <w:pStyle w:val="Normal"/>
              <w:widowControl w:val="false"/>
              <w:autoSpaceDE w:val="false"/>
              <w:snapToGrid w:val="false"/>
              <w:spacing w:lineRule="exact" w:line="256" w:before="0" w:after="0"/>
              <w:ind w:start="10" w:end="2"/>
              <w:jc w:val="center"/>
              <w:rPr>
                <w:rFonts w:ascii="Times New Roman" w:hAnsi="Times New Roman" w:eastAsia="Times New Roman" w:cs="Times New Roman"/>
                <w:b/>
                <w:sz w:val="24"/>
              </w:rPr>
            </w:pPr>
            <w:r>
              <w:rPr>
                <w:rFonts w:eastAsia="Times New Roman" w:cs="Times New Roman" w:ascii="Times New Roman" w:hAnsi="Times New Roman"/>
                <w:b/>
                <w:sz w:val="24"/>
              </w:rPr>
            </w:r>
          </w:p>
        </w:tc>
        <w:tc>
          <w:tcPr>
            <w:tcW w:w="3544"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exact" w:line="256" w:before="0" w:after="0"/>
              <w:ind w:start="9" w:end="0"/>
              <w:jc w:val="center"/>
              <w:rPr>
                <w:rFonts w:ascii="Times New Roman" w:hAnsi="Times New Roman" w:eastAsia="Times New Roman" w:cs="Times New Roman"/>
                <w:bCs/>
                <w:spacing w:val="-2"/>
                <w:sz w:val="24"/>
              </w:rPr>
            </w:pPr>
            <w:r>
              <w:rPr>
                <w:rFonts w:eastAsia="Times New Roman" w:cs="Times New Roman" w:ascii="Times New Roman" w:hAnsi="Times New Roman"/>
                <w:bCs/>
                <w:spacing w:val="-2"/>
                <w:sz w:val="24"/>
              </w:rPr>
              <w:t xml:space="preserve">Full-time study</w:t>
            </w:r>
          </w:p>
        </w:tc>
        <w:tc>
          <w:tcPr>
            <w:tcW w:w="3402"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exact" w:line="256" w:before="0" w:after="0"/>
              <w:ind w:start="9" w:end="0"/>
              <w:jc w:val="center"/>
              <w:rPr>
                <w:rFonts w:ascii="Times New Roman" w:hAnsi="Times New Roman" w:eastAsia="Times New Roman" w:cs="Times New Roman"/>
                <w:bCs/>
                <w:spacing w:val="-2"/>
                <w:sz w:val="24"/>
              </w:rPr>
            </w:pPr>
            <w:r>
              <w:rPr>
                <w:rFonts w:eastAsia="Times New Roman" w:cs="Times New Roman" w:ascii="Times New Roman" w:hAnsi="Times New Roman"/>
                <w:bCs/>
                <w:spacing w:val="-2"/>
                <w:sz w:val="24"/>
              </w:rPr>
              <w:t xml:space="preserve">Part-time study</w:t>
            </w:r>
          </w:p>
        </w:tc>
      </w:tr>
      <w:tr>
        <w:trPr>
          <w:trHeight w:val="369" w:hRule="atLeast"/>
        </w:trPr>
        <w:tc>
          <w:tcPr>
            <w:tcW w:w="2943"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exact" w:line="256" w:before="0" w:after="0"/>
              <w:ind w:start="10" w:end="2"/>
              <w:rPr>
                <w:rFonts w:ascii="Times New Roman" w:hAnsi="Times New Roman" w:eastAsia="Times New Roman" w:cs="Times New Roman"/>
                <w:b/>
                <w:sz w:val="24"/>
              </w:rPr>
            </w:pPr>
            <w:r>
              <w:rPr>
                <w:rFonts w:eastAsia="Times New Roman" w:cs="Times New Roman" w:ascii="Times New Roman" w:hAnsi="Times New Roman"/>
                <w:spacing w:val="-2"/>
                <w:sz w:val="24"/>
              </w:rPr>
              <w:t xml:space="preserve">Lectures:</w:t>
            </w:r>
          </w:p>
        </w:tc>
        <w:tc>
          <w:tcPr>
            <w:tcW w:w="3544"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exact" w:line="256" w:before="0" w:after="0"/>
              <w:ind w:start="9" w:end="0"/>
              <w:jc w:val="center"/>
              <w:rPr>
                <w:rFonts w:ascii="Times New Roman" w:hAnsi="Times New Roman" w:eastAsia="Times New Roman" w:cs="Times New Roman"/>
                <w:b/>
                <w:spacing w:val="-2"/>
                <w:sz w:val="24"/>
              </w:rPr>
            </w:pPr>
            <w:r>
              <w:rPr>
                <w:b/>
                <w:rFonts w:eastAsia="Times New Roman" w:cs="Times New Roman" w:ascii="Times New Roman" w:hAnsi="Times New Roman"/>
                <w:spacing w:val="-2"/>
                <w:sz w:val="24"/>
              </w:rPr>
              <w:t xml:space="preserve">10</w:t>
            </w:r>
          </w:p>
        </w:tc>
        <w:tc>
          <w:tcPr>
            <w:tcW w:w="3402"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exact" w:line="256" w:before="0" w:after="0"/>
              <w:ind w:start="9" w:end="0"/>
              <w:jc w:val="center"/>
              <w:rPr>
                <w:rFonts w:ascii="Times New Roman" w:hAnsi="Times New Roman" w:eastAsia="Times New Roman" w:cs="Times New Roman"/>
                <w:b/>
                <w:spacing w:val="-2"/>
                <w:sz w:val="24"/>
              </w:rPr>
            </w:pPr>
            <w:r>
              <w:rPr>
                <w:b/>
                <w:rFonts w:eastAsia="Times New Roman" w:cs="Times New Roman" w:ascii="Times New Roman" w:hAnsi="Times New Roman"/>
                <w:spacing w:val="-2"/>
                <w:sz w:val="24"/>
              </w:rPr>
              <w:t xml:space="preserve">4</w:t>
            </w:r>
          </w:p>
        </w:tc>
      </w:tr>
      <w:tr>
        <w:trPr>
          <w:trHeight w:val="419" w:hRule="atLeast"/>
        </w:trPr>
        <w:tc>
          <w:tcPr>
            <w:tcW w:w="2943"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exact" w:line="256" w:before="0" w:after="0"/>
              <w:ind w:start="10" w:end="2"/>
              <w:rPr>
                <w:rFonts w:ascii="Times New Roman" w:hAnsi="Times New Roman" w:eastAsia="Times New Roman" w:cs="Times New Roman"/>
                <w:b/>
                <w:sz w:val="24"/>
              </w:rPr>
            </w:pPr>
            <w:r>
              <w:rPr>
                <w:rFonts w:eastAsia="Times New Roman" w:cs="Times New Roman" w:ascii="Times New Roman" w:hAnsi="Times New Roman"/>
                <w:sz w:val="24"/>
              </w:rPr>
              <w:t xml:space="preserve">Practical training:</w:t>
            </w:r>
          </w:p>
        </w:tc>
        <w:tc>
          <w:tcPr>
            <w:tcW w:w="3544"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exact" w:line="256" w:before="0" w:after="0"/>
              <w:ind w:start="9" w:end="0"/>
              <w:jc w:val="center"/>
              <w:rPr>
                <w:rFonts w:ascii="Times New Roman" w:hAnsi="Times New Roman" w:eastAsia="Times New Roman" w:cs="Times New Roman"/>
                <w:b/>
                <w:spacing w:val="-2"/>
                <w:sz w:val="24"/>
              </w:rPr>
            </w:pPr>
            <w:r>
              <w:rPr>
                <w:b/>
                <w:rFonts w:eastAsia="Times New Roman" w:cs="Times New Roman" w:ascii="Times New Roman" w:hAnsi="Times New Roman"/>
                <w:spacing w:val="-2"/>
                <w:sz w:val="24"/>
              </w:rPr>
              <w:t xml:space="preserve">30</w:t>
            </w:r>
          </w:p>
        </w:tc>
        <w:tc>
          <w:tcPr>
            <w:tcW w:w="3402"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exact" w:line="256" w:before="0" w:after="0"/>
              <w:ind w:start="9" w:end="0"/>
              <w:jc w:val="center"/>
              <w:rPr>
                <w:rFonts w:ascii="Times New Roman" w:hAnsi="Times New Roman" w:eastAsia="Times New Roman" w:cs="Times New Roman"/>
                <w:b/>
                <w:spacing w:val="-2"/>
                <w:sz w:val="24"/>
              </w:rPr>
            </w:pPr>
            <w:r>
              <w:rPr>
                <w:b/>
                <w:rFonts w:eastAsia="Times New Roman" w:cs="Times New Roman" w:ascii="Times New Roman" w:hAnsi="Times New Roman"/>
                <w:spacing w:val="-2"/>
                <w:sz w:val="24"/>
              </w:rPr>
              <w:t xml:space="preserve">8</w:t>
            </w:r>
          </w:p>
        </w:tc>
      </w:tr>
      <w:tr>
        <w:trPr>
          <w:trHeight w:val="411" w:hRule="atLeast"/>
        </w:trPr>
        <w:tc>
          <w:tcPr>
            <w:tcW w:w="2943"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exact" w:line="256" w:before="0" w:after="0"/>
              <w:ind w:start="10" w:end="2"/>
              <w:rPr>
                <w:rFonts w:ascii="Times New Roman" w:hAnsi="Times New Roman" w:eastAsia="Times New Roman" w:cs="Times New Roman"/>
                <w:b/>
                <w:sz w:val="24"/>
              </w:rPr>
            </w:pPr>
            <w:r>
              <w:rPr>
                <w:rFonts w:eastAsia="Times New Roman" w:cs="Times New Roman" w:ascii="Times New Roman" w:hAnsi="Times New Roman"/>
                <w:sz w:val="24"/>
              </w:rPr>
              <w:t xml:space="preserve">Self-study:</w:t>
            </w:r>
          </w:p>
        </w:tc>
        <w:tc>
          <w:tcPr>
            <w:tcW w:w="3544"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exact" w:line="256" w:before="0" w:after="0"/>
              <w:ind w:start="9" w:end="0"/>
              <w:jc w:val="center"/>
              <w:rPr>
                <w:rFonts w:ascii="Times New Roman" w:hAnsi="Times New Roman" w:eastAsia="Times New Roman" w:cs="Times New Roman"/>
                <w:b/>
                <w:spacing w:val="-2"/>
                <w:sz w:val="24"/>
              </w:rPr>
            </w:pPr>
            <w:r>
              <w:rPr>
                <w:b/>
                <w:rFonts w:eastAsia="Times New Roman" w:cs="Times New Roman" w:ascii="Times New Roman" w:hAnsi="Times New Roman"/>
                <w:spacing w:val="-2"/>
                <w:sz w:val="24"/>
              </w:rPr>
              <w:t xml:space="preserve">50</w:t>
            </w:r>
          </w:p>
        </w:tc>
        <w:tc>
          <w:tcPr>
            <w:tcW w:w="3402"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exact" w:line="256" w:before="0" w:after="0"/>
              <w:ind w:start="9" w:end="0"/>
              <w:jc w:val="center"/>
              <w:rPr>
                <w:rFonts w:ascii="Times New Roman" w:hAnsi="Times New Roman" w:eastAsia="Times New Roman" w:cs="Times New Roman"/>
                <w:b/>
                <w:spacing w:val="-2"/>
                <w:sz w:val="24"/>
              </w:rPr>
            </w:pPr>
            <w:r>
              <w:rPr>
                <w:b/>
                <w:rFonts w:eastAsia="Times New Roman" w:cs="Times New Roman" w:ascii="Times New Roman" w:hAnsi="Times New Roman"/>
                <w:spacing w:val="-2"/>
                <w:sz w:val="24"/>
              </w:rPr>
              <w:t xml:space="preserve">78</w:t>
            </w:r>
          </w:p>
        </w:tc>
      </w:tr>
      <w:tr>
        <w:trPr>
          <w:trHeight w:val="403" w:hRule="atLeast"/>
        </w:trPr>
        <w:tc>
          <w:tcPr>
            <w:tcW w:w="2943"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exact" w:line="256" w:before="0" w:after="0"/>
              <w:ind w:start="10" w:end="1"/>
              <w:rPr>
                <w:rFonts w:ascii="Times New Roman" w:hAnsi="Times New Roman" w:eastAsia="Times New Roman" w:cs="Times New Roman"/>
                <w:b/>
                <w:sz w:val="24"/>
              </w:rPr>
            </w:pPr>
            <w:r>
              <w:rPr>
                <w:rFonts w:eastAsia="Times New Roman" w:cs="Times New Roman" w:ascii="Times New Roman" w:hAnsi="Times New Roman"/>
                <w:b/>
                <w:spacing w:val="-2"/>
                <w:sz w:val="24"/>
              </w:rPr>
              <w:t xml:space="preserve">Total</w:t>
            </w:r>
          </w:p>
        </w:tc>
        <w:tc>
          <w:tcPr>
            <w:tcW w:w="3544"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exact" w:line="256" w:before="0" w:after="0"/>
              <w:ind w:start="9" w:end="0"/>
              <w:jc w:val="center"/>
              <w:rPr>
                <w:rFonts w:ascii="Times New Roman" w:hAnsi="Times New Roman" w:eastAsia="Times New Roman" w:cs="Times New Roman"/>
                <w:b/>
                <w:sz w:val="24"/>
              </w:rPr>
            </w:pPr>
            <w:r>
              <w:rPr>
                <w:b/>
                <w:rFonts w:eastAsia="Times New Roman" w:cs="Times New Roman" w:ascii="Times New Roman" w:hAnsi="Times New Roman"/>
                <w:sz w:val="24"/>
              </w:rPr>
              <w:t xml:space="preserve">90</w:t>
            </w:r>
          </w:p>
        </w:tc>
        <w:tc>
          <w:tcPr>
            <w:tcW w:w="3402"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exact" w:line="256" w:before="0" w:after="0"/>
              <w:ind w:start="9" w:end="0"/>
              <w:jc w:val="center"/>
              <w:rPr>
                <w:rFonts w:ascii="Times New Roman" w:hAnsi="Times New Roman" w:eastAsia="Times New Roman" w:cs="Times New Roman"/>
                <w:b/>
                <w:sz w:val="24"/>
              </w:rPr>
            </w:pPr>
            <w:r>
              <w:rPr>
                <w:b/>
                <w:rFonts w:eastAsia="Times New Roman" w:cs="Times New Roman" w:ascii="Times New Roman" w:hAnsi="Times New Roman"/>
                <w:sz w:val="24"/>
              </w:rPr>
              <w:t xml:space="preserve">90</w:t>
            </w:r>
          </w:p>
        </w:tc>
      </w:tr>
    </w:tbl>
    <w:p>
      <w:pPr>
        <w:pStyle w:val="Normal"/>
        <w:widowControl w:val="false"/>
        <w:autoSpaceDE w:val="false"/>
        <w:spacing w:lineRule="auto" w:line="240" w:before="3" w:after="0"/>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numPr>
          <w:ilvl w:val="0"/>
          <w:numId w:val="5"/>
        </w:numPr>
        <w:tabs>
          <w:tab w:val="clear" w:pos="708"/>
          <w:tab w:val="left" w:pos="862" w:leader="none"/>
        </w:tabs>
        <w:autoSpaceDE w:val="false"/>
        <w:spacing w:lineRule="auto" w:line="240" w:before="1" w:after="0"/>
        <w:ind w:hanging="295" w:start="862" w:end="0"/>
        <w:jc w:val="both"/>
        <w:rPr>
          <w:rFonts w:ascii="Times New Roman" w:hAnsi="Times New Roman" w:eastAsia="Times New Roman" w:cs="Times New Roman"/>
          <w:b/>
          <w:sz w:val="24"/>
        </w:rPr>
      </w:pPr>
      <w:r>
        <w:rPr>
          <w:rFonts w:eastAsia="Times New Roman" w:cs="Times New Roman" w:ascii="Times New Roman" w:hAnsi="Times New Roman"/>
          <w:b/>
          <w:color w:val="0000FF"/>
          <w:sz w:val="24"/>
        </w:rPr>
        <w:t xml:space="preserve">THEMATIC PLAN</w:t>
      </w:r>
    </w:p>
    <w:p>
      <w:pPr>
        <w:pStyle w:val="Normal"/>
        <w:spacing w:lineRule="auto" w:line="240" w:before="0" w:after="0"/>
        <w:ind w:start="720" w:end="0"/>
        <w:contextualSpacing/>
        <w:jc w:val="center"/>
        <w:rPr>
          <w:rFonts w:ascii="Times New Roman" w:hAnsi="Times New Roman" w:eastAsia="Times New Roman" w:cs="Times New Roman"/>
          <w:b/>
          <w:color w:val="000000"/>
          <w:sz w:val="24"/>
          <w:szCs w:val="24"/>
          <w:lang w:eastAsia="uk-UA"/>
        </w:rPr>
      </w:pPr>
      <w:r>
        <w:rPr>
          <w:rFonts w:eastAsia="Times New Roman" w:cs="Times New Roman" w:ascii="Times New Roman" w:hAnsi="Times New Roman"/>
          <w:b/>
          <w:color w:val="000000"/>
          <w:sz w:val="24"/>
          <w:szCs w:val="24"/>
          <w:lang w:eastAsia="uk-UA"/>
        </w:rPr>
      </w:r>
    </w:p>
    <w:tbl>
      <w:tblPr>
        <w:tblW w:w="5050" w:type="pct"/>
        <w:jc w:val="start"/>
        <w:tblInd w:w="0" w:type="dxa"/>
        <w:tblLayout w:type="fixed"/>
        <w:tblCellMar>
          <w:top w:w="0" w:type="dxa"/>
          <w:start w:w="108" w:type="dxa"/>
          <w:bottom w:w="0" w:type="dxa"/>
          <w:end w:w="108" w:type="dxa"/>
        </w:tblCellMar>
      </w:tblPr>
      <w:tblGrid>
        <w:gridCol w:w="590"/>
        <w:gridCol w:w="9145"/>
      </w:tblGrid>
      <w:tr>
        <w:trPr/>
        <w:tc>
          <w:tcPr>
            <w:tcW w:w="590" w:type="dxa"/>
            <w:tcBorders>
              <w:top w:val="single" w:sz="6" w:space="0" w:color="000000"/>
              <w:start w:val="single" w:sz="6" w:space="0" w:color="000000"/>
              <w:bottom w:val="single" w:sz="6" w:space="0" w:color="000000"/>
              <w:end w:val="single" w:sz="6" w:space="0" w:color="000000"/>
            </w:tcBorders>
            <w:shd w:fill="E6E6E6" w:val="clear"/>
          </w:tcPr>
          <w:p>
            <w:pPr>
              <w:pStyle w:val="Normal"/>
              <w:snapToGrid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rPr>
              <w:t xml:space="preserve">No.</w:t>
            </w:r>
          </w:p>
        </w:tc>
        <w:tc>
          <w:tcPr>
            <w:tcW w:w="9145" w:type="dxa"/>
            <w:tcBorders>
              <w:top w:val="single" w:sz="6" w:space="0" w:color="000000"/>
              <w:start w:val="single" w:sz="6" w:space="0" w:color="000000"/>
              <w:bottom w:val="single" w:sz="6" w:space="0" w:color="000000"/>
              <w:end w:val="single" w:sz="6" w:space="0" w:color="000000"/>
            </w:tcBorders>
            <w:shd w:fill="E6E6E6" w:val="clear"/>
          </w:tcPr>
          <w:p>
            <w:pPr>
              <w:pStyle w:val="Normal"/>
              <w:snapToGrid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rPr>
              <w:t xml:space="preserve">Topic</w:t>
            </w:r>
          </w:p>
        </w:tc>
      </w:tr>
      <w:tr>
        <w:trPr/>
        <w:tc>
          <w:tcPr>
            <w:tcW w:w="590" w:type="dxa"/>
            <w:tcBorders>
              <w:top w:val="single" w:sz="6" w:space="0" w:color="000000"/>
              <w:start w:val="single" w:sz="6" w:space="0" w:color="000000"/>
              <w:bottom w:val="single" w:sz="6" w:space="0" w:color="000000"/>
              <w:end w:val="single" w:sz="6" w:space="0" w:color="000000"/>
            </w:tcBorders>
          </w:tcPr>
          <w:p>
            <w:pPr>
              <w:pStyle w:val="Normal"/>
              <w:snapToGrid w:val="false"/>
              <w:spacing w:lineRule="auto" w:line="240" w:before="0" w:after="0"/>
              <w:ind w:hanging="173" w:start="173" w:end="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 xml:space="preserve">1.</w:t>
            </w:r>
          </w:p>
        </w:tc>
        <w:tc>
          <w:tcPr>
            <w:tcW w:w="9145" w:type="dxa"/>
            <w:tcBorders>
              <w:top w:val="single" w:sz="6" w:space="0" w:color="000000"/>
              <w:start w:val="single" w:sz="6" w:space="0" w:color="000000"/>
              <w:bottom w:val="single" w:sz="6" w:space="0" w:color="000000"/>
              <w:end w:val="single" w:sz="6" w:space="0" w:color="000000"/>
            </w:tcBorders>
          </w:tcPr>
          <w:p>
            <w:pPr>
              <w:pStyle w:val="Normal"/>
              <w:numPr>
                <w:ilvl w:val="0"/>
                <w:numId w:val="0"/>
              </w:numPr>
              <w:snapToGrid w:val="false"/>
              <w:spacing w:lineRule="auto" w:line="240" w:before="0" w:after="0"/>
              <w:ind w:hanging="0" w:start="0"/>
              <w:jc w:val="both"/>
              <w:rPr>
                <w:rFonts w:ascii="Times New Roman" w:hAnsi="Times New Roman" w:eastAsia="Times New Roman" w:cs="Times New Roman"/>
                <w:sz w:val="20"/>
                <w:szCs w:val="20"/>
                <w:lang w:eastAsia="ru-RU"/>
              </w:rPr>
            </w:pPr>
            <w:r>
              <w:rPr>
                <w:rFonts w:cs="Times New Roman" w:ascii="Times New Roman" w:hAnsi="Times New Roman"/>
                <w:sz w:val="20"/>
                <w:szCs w:val="20"/>
              </w:rPr>
              <w:t xml:space="preserve">Pharmaceutical aspects of substance abuse and drug addiction: basic concepts and terms. Classifications of narcotic and psychoactive substances.</w:t>
            </w:r>
          </w:p>
        </w:tc>
      </w:tr>
      <w:tr>
        <w:trPr/>
        <w:tc>
          <w:tcPr>
            <w:tcW w:w="590" w:type="dxa"/>
            <w:tcBorders>
              <w:top w:val="single" w:sz="6" w:space="0" w:color="000000"/>
              <w:start w:val="single" w:sz="6" w:space="0" w:color="000000"/>
              <w:bottom w:val="single" w:sz="6" w:space="0" w:color="000000"/>
              <w:end w:val="single" w:sz="6" w:space="0" w:color="000000"/>
            </w:tcBorders>
          </w:tcPr>
          <w:p>
            <w:pPr>
              <w:pStyle w:val="Normal"/>
              <w:snapToGrid w:val="false"/>
              <w:spacing w:lineRule="auto" w:line="240" w:before="0" w:after="0"/>
              <w:ind w:hanging="173" w:start="173" w:end="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 xml:space="preserve">2.</w:t>
            </w:r>
          </w:p>
        </w:tc>
        <w:tc>
          <w:tcPr>
            <w:tcW w:w="9145" w:type="dxa"/>
            <w:tcBorders>
              <w:top w:val="single" w:sz="6" w:space="0" w:color="000000"/>
              <w:start w:val="single" w:sz="6" w:space="0" w:color="000000"/>
              <w:bottom w:val="single" w:sz="6" w:space="0" w:color="000000"/>
              <w:end w:val="single" w:sz="6" w:space="0" w:color="000000"/>
            </w:tcBorders>
          </w:tcPr>
          <w:p>
            <w:pPr>
              <w:pStyle w:val="Normal"/>
              <w:numPr>
                <w:ilvl w:val="0"/>
                <w:numId w:val="0"/>
              </w:numPr>
              <w:snapToGrid w:val="false"/>
              <w:spacing w:lineRule="auto" w:line="240" w:before="0" w:after="0"/>
              <w:ind w:hanging="0" w:start="0"/>
              <w:jc w:val="both"/>
              <w:rPr>
                <w:rFonts w:ascii="Times New Roman" w:hAnsi="Times New Roman" w:eastAsia="Times New Roman" w:cs="Times New Roman"/>
                <w:sz w:val="20"/>
                <w:szCs w:val="20"/>
                <w:lang w:eastAsia="ru-RU"/>
              </w:rPr>
            </w:pPr>
            <w:r>
              <w:rPr>
                <w:rFonts w:cs="Times New Roman" w:ascii="Times New Roman" w:hAnsi="Times New Roman"/>
                <w:sz w:val="20"/>
                <w:szCs w:val="20"/>
              </w:rPr>
              <w:t xml:space="preserve">Organization of narcological care in Ukraine. Epidemiology, prevention and methods of combating alcoholism, drug addiction and substance abuse. Stages of drug addiction: diagnosis, phases and methods of treatment of drug addiction and substance abuse.</w:t>
            </w:r>
          </w:p>
        </w:tc>
      </w:tr>
      <w:tr>
        <w:trPr/>
        <w:tc>
          <w:tcPr>
            <w:tcW w:w="590" w:type="dxa"/>
            <w:tcBorders>
              <w:top w:val="single" w:sz="6" w:space="0" w:color="000000"/>
              <w:start w:val="single" w:sz="6" w:space="0" w:color="000000"/>
              <w:bottom w:val="single" w:sz="6" w:space="0" w:color="000000"/>
              <w:end w:val="single" w:sz="6" w:space="0" w:color="000000"/>
            </w:tcBorders>
          </w:tcPr>
          <w:p>
            <w:pPr>
              <w:pStyle w:val="Normal"/>
              <w:snapToGrid w:val="false"/>
              <w:spacing w:lineRule="auto" w:line="240" w:before="0" w:after="0"/>
              <w:ind w:hanging="173" w:start="173" w:end="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 xml:space="preserve">3.</w:t>
            </w:r>
          </w:p>
        </w:tc>
        <w:tc>
          <w:tcPr>
            <w:tcW w:w="9145" w:type="dxa"/>
            <w:tcBorders>
              <w:top w:val="single" w:sz="6" w:space="0" w:color="000000"/>
              <w:start w:val="single" w:sz="6" w:space="0" w:color="000000"/>
              <w:bottom w:val="single" w:sz="6" w:space="0" w:color="000000"/>
              <w:end w:val="single" w:sz="6" w:space="0" w:color="000000"/>
            </w:tcBorders>
          </w:tcPr>
          <w:p>
            <w:pPr>
              <w:pStyle w:val="Normal"/>
              <w:numPr>
                <w:ilvl w:val="0"/>
                <w:numId w:val="0"/>
              </w:numPr>
              <w:snapToGrid w:val="false"/>
              <w:spacing w:lineRule="auto" w:line="240" w:before="0" w:after="0"/>
              <w:ind w:hanging="0" w:start="0"/>
              <w:jc w:val="both"/>
              <w:rPr>
                <w:rFonts w:ascii="Times New Roman" w:hAnsi="Times New Roman" w:eastAsia="Times New Roman" w:cs="Times New Roman"/>
                <w:sz w:val="20"/>
                <w:szCs w:val="20"/>
                <w:lang w:eastAsia="ru-RU"/>
              </w:rPr>
            </w:pPr>
            <w:r>
              <w:rPr>
                <w:rFonts w:cs="Times New Roman" w:ascii="Times New Roman" w:hAnsi="Times New Roman"/>
                <w:sz w:val="20"/>
                <w:szCs w:val="20"/>
              </w:rPr>
              <w:t xml:space="preserve">Pharmaceutical aspects of tobacco smoking: characteristics of nicotine dependence, toxic effects, symptoms of poisoning, assistance. Methods of prevention and treatment of tobacco smoking.</w:t>
            </w:r>
          </w:p>
        </w:tc>
      </w:tr>
      <w:tr>
        <w:trPr/>
        <w:tc>
          <w:tcPr>
            <w:tcW w:w="590" w:type="dxa"/>
            <w:tcBorders>
              <w:top w:val="single" w:sz="6" w:space="0" w:color="000000"/>
              <w:start w:val="single" w:sz="6" w:space="0" w:color="000000"/>
              <w:bottom w:val="single" w:sz="6" w:space="0" w:color="000000"/>
              <w:end w:val="single" w:sz="6" w:space="0" w:color="000000"/>
            </w:tcBorders>
          </w:tcPr>
          <w:p>
            <w:pPr>
              <w:pStyle w:val="Normal"/>
              <w:snapToGrid w:val="false"/>
              <w:spacing w:lineRule="auto" w:line="240" w:before="0" w:after="0"/>
              <w:ind w:hanging="173" w:start="173" w:end="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 xml:space="preserve">4.</w:t>
            </w:r>
          </w:p>
        </w:tc>
        <w:tc>
          <w:tcPr>
            <w:tcW w:w="9145" w:type="dxa"/>
            <w:tcBorders>
              <w:top w:val="single" w:sz="6" w:space="0" w:color="000000"/>
              <w:start w:val="single" w:sz="6" w:space="0" w:color="000000"/>
              <w:bottom w:val="single" w:sz="6" w:space="0" w:color="000000"/>
              <w:end w:val="single" w:sz="6" w:space="0" w:color="000000"/>
            </w:tcBorders>
          </w:tcPr>
          <w:p>
            <w:pPr>
              <w:pStyle w:val="Normal"/>
              <w:numPr>
                <w:ilvl w:val="0"/>
                <w:numId w:val="0"/>
              </w:numPr>
              <w:snapToGrid w:val="false"/>
              <w:spacing w:lineRule="auto" w:line="240" w:before="0" w:after="0"/>
              <w:ind w:hanging="0" w:start="0"/>
              <w:jc w:val="both"/>
              <w:rPr>
                <w:rFonts w:ascii="Times New Roman" w:hAnsi="Times New Roman" w:eastAsia="Times New Roman" w:cs="Times New Roman"/>
                <w:sz w:val="20"/>
                <w:szCs w:val="20"/>
                <w:lang w:eastAsia="ru-RU"/>
              </w:rPr>
            </w:pPr>
            <w:r>
              <w:rPr>
                <w:rFonts w:cs="Times New Roman" w:ascii="Times New Roman" w:hAnsi="Times New Roman"/>
                <w:sz w:val="20"/>
                <w:szCs w:val="20"/>
              </w:rPr>
              <w:t xml:space="preserve">Pharmaceutical aspects of alcoholism: toxicological characteristics, etiopathogenesis, clinical picture of alcoholism. Alcohol poisoning, first aid. Methods of prevention and treatment of alcoholism.</w:t>
            </w:r>
          </w:p>
        </w:tc>
      </w:tr>
      <w:tr>
        <w:trPr/>
        <w:tc>
          <w:tcPr>
            <w:tcW w:w="590" w:type="dxa"/>
            <w:tcBorders>
              <w:top w:val="single" w:sz="6" w:space="0" w:color="000000"/>
              <w:start w:val="single" w:sz="6" w:space="0" w:color="000000"/>
              <w:bottom w:val="single" w:sz="6" w:space="0" w:color="000000"/>
              <w:end w:val="single" w:sz="6" w:space="0" w:color="000000"/>
            </w:tcBorders>
          </w:tcPr>
          <w:p>
            <w:pPr>
              <w:pStyle w:val="Normal"/>
              <w:snapToGrid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 xml:space="preserve">5.</w:t>
            </w:r>
          </w:p>
        </w:tc>
        <w:tc>
          <w:tcPr>
            <w:tcW w:w="9145" w:type="dxa"/>
            <w:tcBorders>
              <w:top w:val="single" w:sz="6" w:space="0" w:color="000000"/>
              <w:start w:val="single" w:sz="6" w:space="0" w:color="000000"/>
              <w:bottom w:val="single" w:sz="6" w:space="0" w:color="000000"/>
              <w:end w:val="single" w:sz="6" w:space="0" w:color="000000"/>
            </w:tcBorders>
          </w:tcPr>
          <w:p>
            <w:pPr>
              <w:pStyle w:val="Normal"/>
              <w:snapToGrid w:val="false"/>
              <w:spacing w:lineRule="auto" w:line="240" w:before="0" w:after="0"/>
              <w:jc w:val="both"/>
              <w:rPr>
                <w:rFonts w:ascii="Times New Roman" w:hAnsi="Times New Roman" w:eastAsia="Times New Roman" w:cs="Times New Roman"/>
                <w:sz w:val="20"/>
                <w:szCs w:val="20"/>
                <w:lang w:eastAsia="ru-RU"/>
              </w:rPr>
            </w:pPr>
            <w:r>
              <w:rPr>
                <w:rFonts w:cs="Times New Roman" w:ascii="Times New Roman" w:hAnsi="Times New Roman"/>
                <w:sz w:val="20"/>
                <w:szCs w:val="20"/>
              </w:rPr>
              <w:t xml:space="preserve">Alcohol surrogates: toxic effects, clinical picture of poisoning. Pharmacological aspects of providing assistance in acute poisoning.</w:t>
            </w:r>
          </w:p>
        </w:tc>
      </w:tr>
      <w:tr>
        <w:trPr/>
        <w:tc>
          <w:tcPr>
            <w:tcW w:w="590" w:type="dxa"/>
            <w:tcBorders>
              <w:top w:val="single" w:sz="6" w:space="0" w:color="000000"/>
              <w:start w:val="single" w:sz="6" w:space="0" w:color="000000"/>
              <w:bottom w:val="single" w:sz="6" w:space="0" w:color="000000"/>
              <w:end w:val="single" w:sz="6" w:space="0" w:color="000000"/>
            </w:tcBorders>
          </w:tcPr>
          <w:p>
            <w:pPr>
              <w:pStyle w:val="Normal"/>
              <w:snapToGrid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 xml:space="preserve">6.</w:t>
            </w:r>
          </w:p>
        </w:tc>
        <w:tc>
          <w:tcPr>
            <w:tcW w:w="9145" w:type="dxa"/>
            <w:tcBorders>
              <w:top w:val="single" w:sz="6" w:space="0" w:color="000000"/>
              <w:start w:val="single" w:sz="6" w:space="0" w:color="000000"/>
              <w:bottom w:val="single" w:sz="6" w:space="0" w:color="000000"/>
              <w:end w:val="single" w:sz="6" w:space="0" w:color="000000"/>
            </w:tcBorders>
          </w:tcPr>
          <w:p>
            <w:pPr>
              <w:pStyle w:val="Normal"/>
              <w:snapToGrid w:val="false"/>
              <w:spacing w:lineRule="auto" w:line="240" w:before="0" w:after="0"/>
              <w:jc w:val="both"/>
              <w:rPr>
                <w:rFonts w:ascii="Times New Roman" w:hAnsi="Times New Roman" w:eastAsia="Times New Roman" w:cs="Times New Roman"/>
                <w:sz w:val="20"/>
                <w:szCs w:val="20"/>
                <w:lang w:eastAsia="ru-RU"/>
              </w:rPr>
            </w:pPr>
            <w:r>
              <w:rPr>
                <w:rFonts w:cs="Times New Roman" w:ascii="Times New Roman" w:hAnsi="Times New Roman"/>
                <w:sz w:val="20"/>
                <w:szCs w:val="20"/>
              </w:rPr>
              <w:t xml:space="preserve">Pharmaceutical aspects of opiate dependence: history, sources, general characteristics, medical use of opiates.</w:t>
            </w:r>
          </w:p>
        </w:tc>
      </w:tr>
      <w:tr>
        <w:trPr/>
        <w:tc>
          <w:tcPr>
            <w:tcW w:w="590" w:type="dxa"/>
            <w:tcBorders>
              <w:top w:val="single" w:sz="6" w:space="0" w:color="000000"/>
              <w:start w:val="single" w:sz="6" w:space="0" w:color="000000"/>
              <w:bottom w:val="single" w:sz="6" w:space="0" w:color="000000"/>
              <w:end w:val="single" w:sz="6" w:space="0" w:color="000000"/>
            </w:tcBorders>
          </w:tcPr>
          <w:p>
            <w:pPr>
              <w:pStyle w:val="Normal"/>
              <w:snapToGrid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 xml:space="preserve">7.</w:t>
            </w:r>
          </w:p>
        </w:tc>
        <w:tc>
          <w:tcPr>
            <w:tcW w:w="9145" w:type="dxa"/>
            <w:tcBorders>
              <w:top w:val="single" w:sz="6" w:space="0" w:color="000000"/>
              <w:start w:val="single" w:sz="6" w:space="0" w:color="000000"/>
              <w:bottom w:val="single" w:sz="6" w:space="0" w:color="000000"/>
              <w:end w:val="single" w:sz="6" w:space="0" w:color="000000"/>
            </w:tcBorders>
          </w:tcPr>
          <w:p>
            <w:pPr>
              <w:pStyle w:val="Normal"/>
              <w:snapToGrid w:val="false"/>
              <w:spacing w:lineRule="auto" w:line="240" w:before="0" w:after="0"/>
              <w:jc w:val="both"/>
              <w:rPr>
                <w:rFonts w:ascii="Times New Roman" w:hAnsi="Times New Roman" w:eastAsia="Times New Roman" w:cs="Times New Roman"/>
                <w:sz w:val="20"/>
                <w:szCs w:val="20"/>
                <w:lang w:eastAsia="ru-RU"/>
              </w:rPr>
            </w:pPr>
            <w:r>
              <w:rPr>
                <w:rFonts w:cs="Times New Roman" w:ascii="Times New Roman" w:hAnsi="Times New Roman"/>
                <w:sz w:val="20"/>
                <w:szCs w:val="20"/>
              </w:rPr>
              <w:t xml:space="preserve">Toxic effects and metabolism of opiates. Acute opiate poisoning, assistance. Consequences of opiate abuse, prevention of poisoning, characteristics of individual representatives.</w:t>
            </w:r>
          </w:p>
        </w:tc>
      </w:tr>
      <w:tr>
        <w:trPr/>
        <w:tc>
          <w:tcPr>
            <w:tcW w:w="590" w:type="dxa"/>
            <w:tcBorders>
              <w:top w:val="single" w:sz="6" w:space="0" w:color="000000"/>
              <w:start w:val="single" w:sz="6" w:space="0" w:color="000000"/>
              <w:bottom w:val="single" w:sz="6" w:space="0" w:color="000000"/>
              <w:end w:val="single" w:sz="6" w:space="0" w:color="000000"/>
            </w:tcBorders>
          </w:tcPr>
          <w:p>
            <w:pPr>
              <w:pStyle w:val="Normal"/>
              <w:snapToGrid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 xml:space="preserve">8.</w:t>
            </w:r>
          </w:p>
        </w:tc>
        <w:tc>
          <w:tcPr>
            <w:tcW w:w="9145" w:type="dxa"/>
            <w:tcBorders>
              <w:top w:val="single" w:sz="6" w:space="0" w:color="000000"/>
              <w:start w:val="single" w:sz="6" w:space="0" w:color="000000"/>
              <w:bottom w:val="single" w:sz="6" w:space="0" w:color="000000"/>
              <w:end w:val="single" w:sz="6" w:space="0" w:color="000000"/>
            </w:tcBorders>
          </w:tcPr>
          <w:p>
            <w:pPr>
              <w:pStyle w:val="Normal"/>
              <w:snapToGrid w:val="false"/>
              <w:spacing w:lineRule="auto" w:line="240" w:before="0" w:after="0"/>
              <w:jc w:val="both"/>
              <w:rPr>
                <w:rFonts w:ascii="Times New Roman" w:hAnsi="Times New Roman" w:eastAsia="Times New Roman" w:cs="Times New Roman"/>
                <w:sz w:val="20"/>
                <w:szCs w:val="20"/>
                <w:lang w:eastAsia="ru-RU"/>
              </w:rPr>
            </w:pPr>
            <w:r>
              <w:rPr>
                <w:rFonts w:cs="Times New Roman" w:ascii="Times New Roman" w:hAnsi="Times New Roman"/>
                <w:sz w:val="20"/>
                <w:szCs w:val="20"/>
              </w:rPr>
              <w:t xml:space="preserve">Pharmaceutical aspects of amphetamine use: representatives, effects on the body, assistance in poisoning, consequences of abuse. Prevention and treatment of dependence.</w:t>
            </w:r>
          </w:p>
        </w:tc>
      </w:tr>
      <w:tr>
        <w:trPr/>
        <w:tc>
          <w:tcPr>
            <w:tcW w:w="590" w:type="dxa"/>
            <w:tcBorders>
              <w:top w:val="single" w:sz="6" w:space="0" w:color="000000"/>
              <w:start w:val="single" w:sz="6" w:space="0" w:color="000000"/>
              <w:bottom w:val="single" w:sz="6" w:space="0" w:color="000000"/>
              <w:end w:val="single" w:sz="6" w:space="0" w:color="000000"/>
            </w:tcBorders>
          </w:tcPr>
          <w:p>
            <w:pPr>
              <w:pStyle w:val="Normal"/>
              <w:snapToGrid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 xml:space="preserve">9.</w:t>
            </w:r>
          </w:p>
        </w:tc>
        <w:tc>
          <w:tcPr>
            <w:tcW w:w="9145" w:type="dxa"/>
            <w:tcBorders>
              <w:top w:val="single" w:sz="6" w:space="0" w:color="000000"/>
              <w:start w:val="single" w:sz="6" w:space="0" w:color="000000"/>
              <w:bottom w:val="single" w:sz="6" w:space="0" w:color="000000"/>
              <w:end w:val="single" w:sz="6" w:space="0" w:color="000000"/>
            </w:tcBorders>
          </w:tcPr>
          <w:p>
            <w:pPr>
              <w:pStyle w:val="Normal"/>
              <w:snapToGrid w:val="false"/>
              <w:spacing w:lineRule="auto" w:line="240" w:before="0" w:after="0"/>
              <w:jc w:val="both"/>
              <w:rPr>
                <w:rFonts w:ascii="Times New Roman" w:hAnsi="Times New Roman" w:eastAsia="Times New Roman" w:cs="Times New Roman"/>
                <w:sz w:val="20"/>
                <w:szCs w:val="20"/>
                <w:lang w:eastAsia="ru-RU"/>
              </w:rPr>
            </w:pPr>
            <w:r>
              <w:rPr>
                <w:rFonts w:cs="Times New Roman" w:ascii="Times New Roman" w:hAnsi="Times New Roman"/>
                <w:sz w:val="20"/>
                <w:szCs w:val="20"/>
              </w:rPr>
              <w:t xml:space="preserve">Pharmaceutical aspects of hallucinogen use: representatives, effects on the body, consequences of use.</w:t>
            </w:r>
          </w:p>
        </w:tc>
      </w:tr>
      <w:tr>
        <w:trPr/>
        <w:tc>
          <w:tcPr>
            <w:tcW w:w="590" w:type="dxa"/>
            <w:tcBorders>
              <w:top w:val="single" w:sz="6" w:space="0" w:color="000000"/>
              <w:start w:val="single" w:sz="6" w:space="0" w:color="000000"/>
              <w:bottom w:val="single" w:sz="6" w:space="0" w:color="000000"/>
              <w:end w:val="single" w:sz="6" w:space="0" w:color="000000"/>
            </w:tcBorders>
          </w:tcPr>
          <w:p>
            <w:pPr>
              <w:pStyle w:val="Normal"/>
              <w:snapToGrid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 xml:space="preserve">10.</w:t>
            </w:r>
          </w:p>
        </w:tc>
        <w:tc>
          <w:tcPr>
            <w:tcW w:w="9145" w:type="dxa"/>
            <w:tcBorders>
              <w:top w:val="single" w:sz="6" w:space="0" w:color="000000"/>
              <w:start w:val="single" w:sz="6" w:space="0" w:color="000000"/>
              <w:bottom w:val="single" w:sz="6" w:space="0" w:color="000000"/>
              <w:end w:val="single" w:sz="6" w:space="0" w:color="000000"/>
            </w:tcBorders>
          </w:tcPr>
          <w:p>
            <w:pPr>
              <w:pStyle w:val="Normal"/>
              <w:snapToGrid w:val="false"/>
              <w:spacing w:lineRule="auto" w:line="240" w:before="0" w:after="0"/>
              <w:jc w:val="both"/>
              <w:rPr>
                <w:rFonts w:ascii="Times New Roman" w:hAnsi="Times New Roman" w:eastAsia="Times New Roman" w:cs="Times New Roman"/>
                <w:sz w:val="20"/>
                <w:szCs w:val="20"/>
                <w:lang w:eastAsia="ru-RU"/>
              </w:rPr>
            </w:pPr>
            <w:r>
              <w:rPr>
                <w:rFonts w:cs="Times New Roman" w:ascii="Times New Roman" w:hAnsi="Times New Roman"/>
                <w:sz w:val="20"/>
                <w:szCs w:val="20"/>
              </w:rPr>
              <w:t xml:space="preserve">Pharmaceutical aspects of cocaine use: toxic effects on the body, consequences of use, prevention and treatment of cocaine dependence.</w:t>
            </w:r>
          </w:p>
        </w:tc>
      </w:tr>
      <w:tr>
        <w:trPr/>
        <w:tc>
          <w:tcPr>
            <w:tcW w:w="590" w:type="dxa"/>
            <w:tcBorders>
              <w:top w:val="single" w:sz="6" w:space="0" w:color="000000"/>
              <w:start w:val="single" w:sz="6" w:space="0" w:color="000000"/>
              <w:bottom w:val="single" w:sz="6" w:space="0" w:color="000000"/>
              <w:end w:val="single" w:sz="6" w:space="0" w:color="000000"/>
            </w:tcBorders>
          </w:tcPr>
          <w:p>
            <w:pPr>
              <w:pStyle w:val="Normal"/>
              <w:snapToGrid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 xml:space="preserve">11.</w:t>
            </w:r>
          </w:p>
        </w:tc>
        <w:tc>
          <w:tcPr>
            <w:tcW w:w="9145" w:type="dxa"/>
            <w:tcBorders>
              <w:top w:val="single" w:sz="6" w:space="0" w:color="000000"/>
              <w:start w:val="single" w:sz="6" w:space="0" w:color="000000"/>
              <w:bottom w:val="single" w:sz="6" w:space="0" w:color="000000"/>
              <w:end w:val="single" w:sz="6" w:space="0" w:color="000000"/>
            </w:tcBorders>
          </w:tcPr>
          <w:p>
            <w:pPr>
              <w:pStyle w:val="Normal"/>
              <w:snapToGrid w:val="false"/>
              <w:spacing w:lineRule="auto" w:line="240" w:before="0" w:after="0"/>
              <w:jc w:val="both"/>
              <w:rPr>
                <w:rFonts w:ascii="Times New Roman" w:hAnsi="Times New Roman" w:eastAsia="Times New Roman" w:cs="Times New Roman"/>
                <w:sz w:val="20"/>
                <w:szCs w:val="20"/>
                <w:lang w:eastAsia="ru-RU"/>
              </w:rPr>
            </w:pPr>
            <w:r>
              <w:rPr>
                <w:rFonts w:cs="Times New Roman" w:ascii="Times New Roman" w:hAnsi="Times New Roman"/>
                <w:sz w:val="20"/>
                <w:szCs w:val="20"/>
              </w:rPr>
              <w:t xml:space="preserve">Pharmaceutical aspects of cannabinoid use: toxic effects on the body, consequences of use, prevention and treatment of dependence.</w:t>
            </w:r>
          </w:p>
        </w:tc>
      </w:tr>
      <w:tr>
        <w:trPr/>
        <w:tc>
          <w:tcPr>
            <w:tcW w:w="590" w:type="dxa"/>
            <w:tcBorders>
              <w:top w:val="single" w:sz="6" w:space="0" w:color="000000"/>
              <w:start w:val="single" w:sz="6" w:space="0" w:color="000000"/>
              <w:bottom w:val="single" w:sz="6" w:space="0" w:color="000000"/>
              <w:end w:val="single" w:sz="6" w:space="0" w:color="000000"/>
            </w:tcBorders>
          </w:tcPr>
          <w:p>
            <w:pPr>
              <w:pStyle w:val="Normal"/>
              <w:snapToGrid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 xml:space="preserve">12.</w:t>
            </w:r>
          </w:p>
        </w:tc>
        <w:tc>
          <w:tcPr>
            <w:tcW w:w="9145" w:type="dxa"/>
            <w:tcBorders>
              <w:top w:val="single" w:sz="6" w:space="0" w:color="000000"/>
              <w:start w:val="single" w:sz="6" w:space="0" w:color="000000"/>
              <w:bottom w:val="single" w:sz="6" w:space="0" w:color="000000"/>
              <w:end w:val="single" w:sz="6" w:space="0" w:color="000000"/>
            </w:tcBorders>
          </w:tcPr>
          <w:p>
            <w:pPr>
              <w:pStyle w:val="Normal"/>
              <w:snapToGrid w:val="false"/>
              <w:spacing w:lineRule="auto" w:line="240" w:before="0" w:after="0"/>
              <w:jc w:val="both"/>
              <w:rPr>
                <w:rFonts w:ascii="Times New Roman" w:hAnsi="Times New Roman" w:eastAsia="Times New Roman" w:cs="Times New Roman"/>
                <w:sz w:val="20"/>
                <w:szCs w:val="20"/>
                <w:lang w:eastAsia="ru-RU"/>
              </w:rPr>
            </w:pPr>
            <w:r>
              <w:rPr>
                <w:rFonts w:cs="Times New Roman" w:ascii="Times New Roman" w:hAnsi="Times New Roman"/>
                <w:sz w:val="20"/>
                <w:szCs w:val="20"/>
              </w:rPr>
              <w:t xml:space="preserve">Pharmaceutical aspects of tranquilizer use: representatives, effects on the body, consequences of abuse, assistance in poisoning.</w:t>
            </w:r>
          </w:p>
        </w:tc>
      </w:tr>
      <w:tr>
        <w:trPr/>
        <w:tc>
          <w:tcPr>
            <w:tcW w:w="590" w:type="dxa"/>
            <w:tcBorders>
              <w:top w:val="single" w:sz="6" w:space="0" w:color="000000"/>
              <w:start w:val="single" w:sz="6" w:space="0" w:color="000000"/>
              <w:bottom w:val="single" w:sz="6" w:space="0" w:color="000000"/>
              <w:end w:val="single" w:sz="6" w:space="0" w:color="000000"/>
            </w:tcBorders>
          </w:tcPr>
          <w:p>
            <w:pPr>
              <w:pStyle w:val="Normal"/>
              <w:snapToGrid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 xml:space="preserve">13.</w:t>
            </w:r>
          </w:p>
        </w:tc>
        <w:tc>
          <w:tcPr>
            <w:tcW w:w="9145" w:type="dxa"/>
            <w:tcBorders>
              <w:top w:val="single" w:sz="6" w:space="0" w:color="000000"/>
              <w:start w:val="single" w:sz="6" w:space="0" w:color="000000"/>
              <w:bottom w:val="single" w:sz="6" w:space="0" w:color="000000"/>
              <w:end w:val="single" w:sz="6" w:space="0" w:color="000000"/>
            </w:tcBorders>
          </w:tcPr>
          <w:p>
            <w:pPr>
              <w:pStyle w:val="Normal"/>
              <w:snapToGrid w:val="false"/>
              <w:spacing w:lineRule="auto" w:line="240" w:before="0" w:after="0"/>
              <w:jc w:val="both"/>
              <w:rPr>
                <w:rFonts w:ascii="Times New Roman" w:hAnsi="Times New Roman" w:eastAsia="Times New Roman" w:cs="Times New Roman"/>
                <w:sz w:val="20"/>
                <w:szCs w:val="20"/>
                <w:lang w:eastAsia="ru-RU"/>
              </w:rPr>
            </w:pPr>
            <w:r>
              <w:rPr>
                <w:rFonts w:cs="Times New Roman" w:ascii="Times New Roman" w:hAnsi="Times New Roman"/>
                <w:sz w:val="20"/>
                <w:szCs w:val="20"/>
              </w:rPr>
              <w:t xml:space="preserve">Pharmaceutical aspects of neuroleptic use: representatives, effects on the body, assistance in poisoning.</w:t>
            </w:r>
          </w:p>
        </w:tc>
      </w:tr>
      <w:tr>
        <w:trPr/>
        <w:tc>
          <w:tcPr>
            <w:tcW w:w="590" w:type="dxa"/>
            <w:tcBorders>
              <w:top w:val="single" w:sz="6" w:space="0" w:color="000000"/>
              <w:start w:val="single" w:sz="6" w:space="0" w:color="000000"/>
              <w:bottom w:val="single" w:sz="6" w:space="0" w:color="000000"/>
              <w:end w:val="single" w:sz="6" w:space="0" w:color="000000"/>
            </w:tcBorders>
          </w:tcPr>
          <w:p>
            <w:pPr>
              <w:pStyle w:val="Normal"/>
              <w:snapToGrid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 xml:space="preserve">14.</w:t>
            </w:r>
          </w:p>
        </w:tc>
        <w:tc>
          <w:tcPr>
            <w:tcW w:w="9145" w:type="dxa"/>
            <w:tcBorders>
              <w:top w:val="single" w:sz="6" w:space="0" w:color="000000"/>
              <w:start w:val="single" w:sz="6" w:space="0" w:color="000000"/>
              <w:bottom w:val="single" w:sz="6" w:space="0" w:color="000000"/>
              <w:end w:val="single" w:sz="6" w:space="0" w:color="000000"/>
            </w:tcBorders>
          </w:tcPr>
          <w:p>
            <w:pPr>
              <w:pStyle w:val="Normal"/>
              <w:snapToGrid w:val="false"/>
              <w:spacing w:lineRule="auto" w:line="240" w:before="0" w:after="0"/>
              <w:jc w:val="both"/>
              <w:rPr>
                <w:rFonts w:ascii="Times New Roman" w:hAnsi="Times New Roman" w:eastAsia="Times New Roman" w:cs="Times New Roman"/>
                <w:sz w:val="20"/>
                <w:szCs w:val="20"/>
                <w:lang w:eastAsia="ru-RU"/>
              </w:rPr>
            </w:pPr>
            <w:r>
              <w:rPr>
                <w:rFonts w:cs="Times New Roman" w:ascii="Times New Roman" w:hAnsi="Times New Roman"/>
                <w:sz w:val="20"/>
                <w:szCs w:val="20"/>
              </w:rPr>
              <w:t xml:space="preserve">Pharmaceutical aspects of hypnotic use: representatives, consequences of abuse. Assistance in poisoning.</w:t>
            </w:r>
          </w:p>
        </w:tc>
      </w:tr>
      <w:tr>
        <w:trPr/>
        <w:tc>
          <w:tcPr>
            <w:tcW w:w="590" w:type="dxa"/>
            <w:tcBorders>
              <w:top w:val="single" w:sz="6" w:space="0" w:color="000000"/>
              <w:start w:val="single" w:sz="6" w:space="0" w:color="000000"/>
              <w:bottom w:val="single" w:sz="6" w:space="0" w:color="000000"/>
              <w:end w:val="single" w:sz="6" w:space="0" w:color="000000"/>
            </w:tcBorders>
          </w:tcPr>
          <w:p>
            <w:pPr>
              <w:pStyle w:val="Normal"/>
              <w:snapToGrid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 xml:space="preserve">15.</w:t>
            </w:r>
          </w:p>
        </w:tc>
        <w:tc>
          <w:tcPr>
            <w:tcW w:w="9145" w:type="dxa"/>
            <w:tcBorders>
              <w:top w:val="single" w:sz="6" w:space="0" w:color="000000"/>
              <w:start w:val="single" w:sz="6" w:space="0" w:color="000000"/>
              <w:bottom w:val="single" w:sz="6" w:space="0" w:color="000000"/>
              <w:end w:val="single" w:sz="6" w:space="0" w:color="000000"/>
            </w:tcBorders>
          </w:tcPr>
          <w:p>
            <w:pPr>
              <w:pStyle w:val="Normal"/>
              <w:snapToGrid w:val="false"/>
              <w:spacing w:lineRule="auto" w:line="240" w:before="0" w:after="0"/>
              <w:jc w:val="both"/>
              <w:rPr>
                <w:rFonts w:ascii="Times New Roman" w:hAnsi="Times New Roman" w:eastAsia="Times New Roman" w:cs="Times New Roman"/>
                <w:sz w:val="20"/>
                <w:szCs w:val="20"/>
                <w:lang w:eastAsia="ru-RU"/>
              </w:rPr>
            </w:pPr>
            <w:r>
              <w:rPr>
                <w:rFonts w:cs="Times New Roman" w:ascii="Times New Roman" w:hAnsi="Times New Roman"/>
                <w:sz w:val="20"/>
                <w:szCs w:val="20"/>
              </w:rPr>
              <w:t xml:space="preserve">Final class of module No. 1. Credit (pass/fail).</w:t>
            </w:r>
          </w:p>
        </w:tc>
      </w:tr>
    </w:tbl>
    <w:p>
      <w:pPr>
        <w:pStyle w:val="Normal"/>
        <w:widowControl w:val="false"/>
        <w:autoSpaceDE w:val="false"/>
        <w:spacing w:lineRule="auto" w:line="240" w:before="0" w:after="0"/>
        <w:ind w:firstLine="567" w:end="143"/>
        <w:jc w:val="both"/>
        <w:rPr>
          <w:rFonts w:ascii="Times New Roman" w:hAnsi="Times New Roman" w:eastAsia="Times New Roman" w:cs="Times New Roman"/>
          <w:sz w:val="24"/>
          <w:szCs w:val="24"/>
        </w:rPr>
      </w:pPr>
      <w:r>
        <w:rPr>
          <w:b/>
          <w:rFonts w:eastAsia="Times New Roman" w:cs="Times New Roman" w:ascii="Times New Roman" w:hAnsi="Times New Roman"/>
          <w:sz w:val="24"/>
          <w:szCs w:val="24"/>
        </w:rPr>
        <w:t xml:space="preserve">Part-time study (lectures – 4 hrs, practical classes – 8 hrs, self-study – 78 hrs):</w:t>
      </w:r>
    </w:p>
    <w:p>
      <w:pPr>
        <w:pStyle w:val="Normal"/>
        <w:widowControl w:val="false"/>
        <w:autoSpaceDE w:val="false"/>
        <w:spacing w:lineRule="auto" w:line="240" w:before="0" w:after="0"/>
        <w:ind w:firstLine="567" w:end="143"/>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1. Pharmaceutical aspects of substance abuse and drug addiction, basic concepts and terms. The effect of tobacco on the human body. Methods of prevention of tobacco smoking.</w:t>
      </w:r>
    </w:p>
    <w:p>
      <w:pPr>
        <w:pStyle w:val="Normal"/>
        <w:widowControl w:val="false"/>
        <w:autoSpaceDE w:val="false"/>
        <w:spacing w:lineRule="auto" w:line="240" w:before="0" w:after="0"/>
        <w:ind w:firstLine="567" w:end="143"/>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2. Toxic effects of alcohol. Assistance in acute poisoning. Treatment of chronic alcoholism.</w:t>
      </w:r>
    </w:p>
    <w:p>
      <w:pPr>
        <w:pStyle w:val="Normal"/>
        <w:widowControl w:val="false"/>
        <w:autoSpaceDE w:val="false"/>
        <w:spacing w:lineRule="auto" w:line="240" w:before="0" w:after="0"/>
        <w:ind w:firstLine="567" w:end="143"/>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3. Pharmaceutical aspects of the use of opiates, amphetamines and hallucinogens; therapy of dependence on them.</w:t>
      </w:r>
    </w:p>
    <w:p>
      <w:pPr>
        <w:pStyle w:val="Normal"/>
        <w:widowControl w:val="false"/>
        <w:autoSpaceDE w:val="false"/>
        <w:spacing w:lineRule="auto" w:line="240" w:before="0" w:after="0"/>
        <w:ind w:firstLine="567" w:end="143"/>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4. Pharmaceutical aspects of the use of cocaine, cannabinoids and psychotropic medicines and dependence on them. Credit (pass/fail).</w:t>
      </w:r>
    </w:p>
    <w:p>
      <w:pPr>
        <w:pStyle w:val="Normal"/>
        <w:widowControl w:val="false"/>
        <w:autoSpaceDE w:val="false"/>
        <w:spacing w:lineRule="auto" w:line="240" w:before="22" w:after="0"/>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numPr>
          <w:ilvl w:val="0"/>
          <w:numId w:val="5"/>
        </w:numPr>
        <w:tabs>
          <w:tab w:val="clear" w:pos="708"/>
          <w:tab w:val="left" w:pos="862" w:leader="none"/>
        </w:tabs>
        <w:autoSpaceDE w:val="false"/>
        <w:spacing w:lineRule="auto" w:line="240" w:before="0" w:after="0"/>
        <w:ind w:hanging="360" w:start="862" w:end="0"/>
        <w:jc w:val="both"/>
        <w:outlineLvl w:val="0"/>
        <w:rPr>
          <w:rFonts w:ascii="Times New Roman" w:hAnsi="Times New Roman" w:eastAsia="Times New Roman" w:cs="Times New Roman"/>
          <w:b/>
          <w:bCs/>
          <w:sz w:val="24"/>
          <w:szCs w:val="24"/>
        </w:rPr>
      </w:pPr>
      <w:r>
        <w:rPr>
          <w:rFonts w:eastAsia="Times New Roman" w:cs="Times New Roman" w:ascii="Times New Roman" w:hAnsi="Times New Roman"/>
          <w:b/>
          <w:bCs/>
          <w:color w:val="0000FF"/>
          <w:sz w:val="24"/>
          <w:szCs w:val="24"/>
        </w:rPr>
        <w:t xml:space="preserve">FORMS AND METHODS OF ASSESSING LEARNING PERFORMANCE</w:t>
      </w:r>
    </w:p>
    <w:tbl>
      <w:tblPr>
        <w:tblW w:w="9855" w:type="dxa"/>
        <w:jc w:val="center"/>
        <w:tblInd w:w="0" w:type="dxa"/>
        <w:tblLayout w:type="fixed"/>
        <w:tblCellMar>
          <w:top w:w="0" w:type="dxa"/>
          <w:start w:w="108" w:type="dxa"/>
          <w:bottom w:w="0" w:type="dxa"/>
          <w:end w:w="108" w:type="dxa"/>
        </w:tblCellMar>
      </w:tblPr>
      <w:tblGrid>
        <w:gridCol w:w="2115"/>
        <w:gridCol w:w="7740"/>
      </w:tblGrid>
      <w:tr>
        <w:trPr/>
        <w:tc>
          <w:tcPr>
            <w:tcW w:w="2115" w:type="dxa"/>
            <w:tcBorders>
              <w:top w:val="single" w:sz="4" w:space="0" w:color="7F7F7F"/>
              <w:start w:val="single" w:sz="4" w:space="0" w:color="7F7F7F"/>
              <w:bottom w:val="single" w:sz="4" w:space="0" w:color="7F7F7F"/>
              <w:end w:val="single" w:sz="4" w:space="0" w:color="7F7F7F"/>
            </w:tcBorders>
          </w:tcPr>
          <w:p>
            <w:pPr>
              <w:pStyle w:val="Normal"/>
              <w:widowControl w:val="false"/>
              <w:autoSpaceDE w:val="false"/>
              <w:spacing w:lineRule="auto" w:line="240" w:before="0" w:after="0"/>
              <w:rPr/>
            </w:pPr>
            <w:r>
              <w:rPr>
                <w:rFonts w:eastAsia="Times New Roman" w:cs="Times New Roman" w:ascii="Times New Roman" w:hAnsi="Times New Roman"/>
                <w:sz w:val="24"/>
                <w:szCs w:val="24"/>
              </w:rPr>
              <w:t xml:space="preserve">Current control in practical classes</w:t>
            </w:r>
          </w:p>
        </w:tc>
        <w:tc>
          <w:tcPr>
            <w:tcW w:w="7740" w:type="dxa"/>
            <w:tcBorders>
              <w:top w:val="single" w:sz="4" w:space="0" w:color="7F7F7F"/>
              <w:start w:val="single" w:sz="4" w:space="0" w:color="7F7F7F"/>
              <w:bottom w:val="single" w:sz="4" w:space="0" w:color="7F7F7F"/>
              <w:end w:val="single" w:sz="4" w:space="0" w:color="7F7F7F"/>
            </w:tcBorders>
          </w:tcPr>
          <w:p>
            <w:pPr>
              <w:pStyle w:val="Normal"/>
              <w:widowControl w:val="false"/>
              <w:autoSpaceDE w:val="false"/>
              <w:spacing w:lineRule="auto" w:line="240" w:before="0" w:after="0"/>
              <w:ind w:end="133"/>
              <w:rPr/>
            </w:pPr>
            <w:r>
              <w:rPr>
                <w:rFonts w:eastAsia="Times New Roman" w:cs="Times New Roman" w:ascii="Times New Roman" w:hAnsi="Times New Roman"/>
                <w:sz w:val="24"/>
                <w:szCs w:val="24"/>
                <w:u w:val="single"/>
              </w:rPr>
              <w:t xml:space="preserve">Methods</w:t>
            </w:r>
            <w:r>
              <w:rPr>
                <w:rFonts w:eastAsia="Times New Roman" w:cs="Times New Roman" w:ascii="Times New Roman" w:hAnsi="Times New Roman"/>
                <w:sz w:val="24"/>
                <w:szCs w:val="24"/>
              </w:rPr>
              <w:t xml:space="preserve">: testing, written or oral answers to control questions, solving situational problems, control of practical skills</w:t>
            </w:r>
          </w:p>
          <w:p>
            <w:pPr>
              <w:pStyle w:val="Normal"/>
              <w:widowControl w:val="false"/>
              <w:autoSpaceDE w:val="false"/>
              <w:spacing w:lineRule="auto" w:line="240" w:before="0" w:after="0"/>
              <w:ind w:end="133"/>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r>
      <w:tr>
        <w:trPr/>
        <w:tc>
          <w:tcPr>
            <w:tcW w:w="2115" w:type="dxa"/>
            <w:tcBorders>
              <w:top w:val="single" w:sz="4" w:space="0" w:color="7F7F7F"/>
              <w:start w:val="single" w:sz="4" w:space="0" w:color="7F7F7F"/>
              <w:bottom w:val="single" w:sz="4" w:space="0" w:color="7F7F7F"/>
              <w:end w:val="single" w:sz="4" w:space="0" w:color="7F7F7F"/>
            </w:tcBorders>
          </w:tcPr>
          <w:p>
            <w:pPr>
              <w:pStyle w:val="Normal"/>
              <w:widowControl w:val="false"/>
              <w:autoSpaceDE w:val="false"/>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Final assessment of the discipline – </w:t>
            </w:r>
            <w:r>
              <w:rPr>
                <w:b/>
                <w:rFonts w:eastAsia="Times New Roman" w:cs="Times New Roman" w:ascii="Times New Roman" w:hAnsi="Times New Roman"/>
                <w:sz w:val="24"/>
                <w:szCs w:val="24"/>
              </w:rPr>
              <w:t xml:space="preserve">credit (pass/fail)</w:t>
            </w:r>
          </w:p>
        </w:tc>
        <w:tc>
          <w:tcPr>
            <w:tcW w:w="7740" w:type="dxa"/>
            <w:tcBorders>
              <w:top w:val="single" w:sz="4" w:space="0" w:color="7F7F7F"/>
              <w:start w:val="single" w:sz="4" w:space="0" w:color="7F7F7F"/>
              <w:bottom w:val="single" w:sz="4" w:space="0" w:color="7F7F7F"/>
              <w:end w:val="single" w:sz="4" w:space="0" w:color="7F7F7F"/>
            </w:tcBorders>
          </w:tcPr>
          <w:p>
            <w:pPr>
              <w:pStyle w:val="Normal"/>
              <w:widowControl w:val="false"/>
              <w:autoSpaceDE w:val="false"/>
              <w:spacing w:lineRule="auto" w:line="240" w:before="0" w:after="0"/>
              <w:ind w:end="133"/>
              <w:rPr/>
            </w:pPr>
            <w:r>
              <w:rPr>
                <w:rFonts w:eastAsia="Times New Roman" w:cs="Times New Roman" w:ascii="Times New Roman" w:hAnsi="Times New Roman"/>
                <w:color w:val="000000"/>
                <w:sz w:val="24"/>
              </w:rPr>
              <w:t xml:space="preserve">Held at the last practical class and assessed in accordance with the “Regulations on the Organization of the Educational Process at Pirogov Vinnytsya National Medical University” </w:t>
            </w:r>
          </w:p>
          <w:p>
            <w:pPr>
              <w:pStyle w:val="Normal"/>
              <w:widowControl w:val="false"/>
              <w:autoSpaceDE w:val="false"/>
              <w:spacing w:lineRule="auto" w:line="240" w:before="0" w:after="0"/>
              <w:ind w:end="133"/>
              <w:rPr/>
            </w:pPr>
            <w:r>
              <w:rPr>
                <w:rFonts w:eastAsia="Times New Roman" w:cs="Times New Roman" w:ascii="Times New Roman" w:hAnsi="Times New Roman"/>
                <w:sz w:val="24"/>
                <w:szCs w:val="24"/>
              </w:rPr>
              <w:t xml:space="preserve">https:/</w:t>
            </w:r>
            <w:hyperlink r:id="rId4">
              <w:r>
                <w:rPr>
                  <w:rStyle w:val="Hyperlink"/>
                  <w:rFonts w:eastAsia="Times New Roman" w:cs="Times New Roman" w:ascii="Times New Roman" w:hAnsi="Times New Roman"/>
                  <w:sz w:val="24"/>
                  <w:szCs w:val="24"/>
                </w:rPr>
                <w:t>/vnmu.edu.ua</w:t>
              </w:r>
            </w:hyperlink>
            <w:r>
              <w:rPr>
                <w:rFonts w:eastAsia="Times New Roman" w:cs="Times New Roman" w:ascii="Times New Roman" w:hAnsi="Times New Roman"/>
                <w:sz w:val="24"/>
                <w:szCs w:val="24"/>
              </w:rPr>
              <w:t xml:space="preserve">/General information/Main documents or </w:t>
            </w:r>
            <w:hyperlink r:id="rId5">
              <w:r>
                <w:rPr>
                  <w:rStyle w:val="Hyperlink"/>
                  <w:rFonts w:eastAsia="Times New Roman" w:cs="Times New Roman" w:ascii="Times New Roman" w:hAnsi="Times New Roman"/>
                  <w:color w:val="0000FF"/>
                  <w:sz w:val="24"/>
                  <w:szCs w:val="24"/>
                  <w:u w:val="single"/>
                  <w:lang w:val="en-US"/>
                </w:rPr>
                <w:t>ht</w:t>
              </w:r>
              <w:r>
                <w:rPr>
                  <w:rStyle w:val="Hyperlink"/>
                  <w:rFonts w:eastAsia="Times New Roman" w:cs="Times New Roman" w:ascii="Times New Roman" w:hAnsi="Times New Roman"/>
                  <w:color w:val="0000FF"/>
                  <w:sz w:val="24"/>
                  <w:szCs w:val="24"/>
                  <w:u w:val="single"/>
                </w:rPr>
                <w:t>tps://www.vnmu.edu.ua/downloads/other/polog_organiz_ocv_proc(2026).pdf</w:t>
              </w:r>
            </w:hyperlink>
            <w:r>
              <w:rPr>
                <w:rFonts w:eastAsia="Times New Roman" w:cs="Times New Roman" w:ascii="Times New Roman" w:hAnsi="Times New Roman"/>
                <w:sz w:val="24"/>
                <w:szCs w:val="24"/>
              </w:rPr>
              <w:t xml:space="preserve">)</w:t>
            </w:r>
          </w:p>
        </w:tc>
      </w:tr>
      <w:tr>
        <w:trPr/>
        <w:tc>
          <w:tcPr>
            <w:tcW w:w="2115" w:type="dxa"/>
            <w:tcBorders>
              <w:top w:val="single" w:sz="4" w:space="0" w:color="7F7F7F"/>
              <w:start w:val="single" w:sz="4" w:space="0" w:color="7F7F7F"/>
              <w:bottom w:val="single" w:sz="4" w:space="0" w:color="7F7F7F"/>
              <w:end w:val="single" w:sz="4" w:space="0" w:color="7F7F7F"/>
            </w:tcBorders>
          </w:tcPr>
          <w:p>
            <w:pPr>
              <w:pStyle w:val="Normal"/>
              <w:widowControl w:val="false"/>
              <w:autoSpaceDE w:val="false"/>
              <w:spacing w:lineRule="auto" w:line="240" w:before="0" w:after="0"/>
              <w:rPr/>
            </w:pPr>
            <w:r>
              <w:rPr>
                <w:rFonts w:eastAsia="Times New Roman" w:cs="Times New Roman" w:ascii="Times New Roman" w:hAnsi="Times New Roman"/>
                <w:sz w:val="24"/>
                <w:szCs w:val="24"/>
              </w:rPr>
              <w:t xml:space="preserve">Means of diagnosing learning performance</w:t>
            </w:r>
          </w:p>
        </w:tc>
        <w:tc>
          <w:tcPr>
            <w:tcW w:w="7740" w:type="dxa"/>
            <w:tcBorders>
              <w:top w:val="single" w:sz="4" w:space="0" w:color="7F7F7F"/>
              <w:start w:val="single" w:sz="4" w:space="0" w:color="7F7F7F"/>
              <w:bottom w:val="single" w:sz="4" w:space="0" w:color="7F7F7F"/>
              <w:end w:val="single" w:sz="4" w:space="0" w:color="7F7F7F"/>
            </w:tcBorders>
          </w:tcPr>
          <w:p>
            <w:pPr>
              <w:pStyle w:val="Normal"/>
              <w:widowControl w:val="false"/>
              <w:autoSpaceDE w:val="false"/>
              <w:spacing w:lineRule="auto" w:line="240" w:before="0" w:after="0"/>
              <w:ind w:end="133"/>
              <w:rPr/>
            </w:pPr>
            <w:r>
              <w:rPr>
                <w:rFonts w:eastAsia="Times New Roman" w:cs="Times New Roman" w:ascii="Times New Roman" w:hAnsi="Times New Roman"/>
                <w:sz w:val="24"/>
                <w:szCs w:val="24"/>
              </w:rPr>
              <w:t xml:space="preserve">Theoretical questions, tests, situational problems, practical tasks</w:t>
            </w:r>
          </w:p>
        </w:tc>
      </w:tr>
    </w:tbl>
    <w:p>
      <w:pPr>
        <w:pStyle w:val="Normal"/>
        <w:widowControl w:val="false"/>
        <w:numPr>
          <w:ilvl w:val="0"/>
          <w:numId w:val="0"/>
        </w:numPr>
        <w:tabs>
          <w:tab w:val="clear" w:pos="708"/>
          <w:tab w:val="left" w:pos="862" w:leader="none"/>
        </w:tabs>
        <w:autoSpaceDE w:val="false"/>
        <w:spacing w:lineRule="auto" w:line="240" w:before="0" w:after="0"/>
        <w:ind w:start="862" w:end="0"/>
        <w:jc w:val="both"/>
        <w:outlineLvl w:val="0"/>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5"/>
        </w:numPr>
        <w:tabs>
          <w:tab w:val="clear" w:pos="708"/>
          <w:tab w:val="left" w:pos="862" w:leader="none"/>
        </w:tabs>
        <w:autoSpaceDE w:val="false"/>
        <w:spacing w:lineRule="auto" w:line="240" w:before="0" w:after="0"/>
        <w:ind w:hanging="295" w:start="862" w:end="0"/>
        <w:jc w:val="both"/>
        <w:outlineLvl w:val="0"/>
        <w:rPr>
          <w:rFonts w:ascii="Times New Roman" w:hAnsi="Times New Roman" w:eastAsia="Times New Roman" w:cs="Times New Roman"/>
          <w:b/>
          <w:bCs/>
          <w:sz w:val="24"/>
          <w:szCs w:val="24"/>
        </w:rPr>
      </w:pPr>
      <w:r>
        <w:rPr>
          <w:rFonts w:eastAsia="Times New Roman" w:cs="Times New Roman" w:ascii="Times New Roman" w:hAnsi="Times New Roman"/>
          <w:b/>
          <w:bCs/>
          <w:color w:val="0000FF"/>
          <w:sz w:val="24"/>
          <w:szCs w:val="24"/>
        </w:rPr>
        <w:t xml:space="preserve">ASSESSMENT CRITERIA</w:t>
      </w:r>
    </w:p>
    <w:p>
      <w:pPr>
        <w:pStyle w:val="Normal"/>
        <w:widowControl w:val="false"/>
        <w:autoSpaceDE w:val="false"/>
        <w:spacing w:lineRule="auto" w:line="240" w:before="0" w:after="0"/>
        <w:ind w:firstLine="567" w:end="0"/>
        <w:rPr>
          <w:rFonts w:ascii="Times New Roman" w:hAnsi="Times New Roman" w:eastAsia="Times New Roman" w:cs="Times New Roman"/>
          <w:color w:val="FF0000"/>
          <w:sz w:val="28"/>
          <w:szCs w:val="24"/>
        </w:rPr>
      </w:pPr>
      <w:r>
        <w:rPr>
          <w:rFonts w:eastAsia="Times New Roman" w:cs="Times New Roman" w:ascii="Times New Roman" w:hAnsi="Times New Roman"/>
          <w:sz w:val="24"/>
          <w:szCs w:val="24"/>
        </w:rPr>
        <w:t xml:space="preserve">Knowledge is assessed in accordance with the current Regulations on the Organization of the Educational Process at Pirogov Vinnytsya National Medical University (</w:t>
      </w:r>
      <w:hyperlink r:id="rId6">
        <w:r>
          <w:rPr>
            <w:rStyle w:val="Hyperlink"/>
            <w:rFonts w:eastAsia="Times New Roman" w:cs="Times New Roman" w:ascii="Times New Roman" w:hAnsi="Times New Roman"/>
            <w:color w:val="0000FF"/>
            <w:sz w:val="24"/>
            <w:szCs w:val="24"/>
            <w:u w:val="single"/>
            <w:lang w:val="en-US"/>
          </w:rPr>
          <w:t>ht</w:t>
        </w:r>
        <w:r>
          <w:rPr>
            <w:rStyle w:val="Hyperlink"/>
            <w:rFonts w:eastAsia="Times New Roman" w:cs="Times New Roman" w:ascii="Times New Roman" w:hAnsi="Times New Roman"/>
            <w:color w:val="0000FF"/>
            <w:sz w:val="24"/>
            <w:szCs w:val="24"/>
            <w:u w:val="single"/>
          </w:rPr>
          <w:t>tps://www.vnmu.edu.ua/downloads/other/polog_organiz_ocv_proc(2026).pdf</w:t>
        </w:r>
      </w:hyperlink>
      <w:r>
        <w:rPr>
          <w:rFonts w:eastAsia="Times New Roman" w:cs="Times New Roman" w:ascii="Times New Roman" w:hAnsi="Times New Roman"/>
          <w:sz w:val="24"/>
          <w:szCs w:val="24"/>
        </w:rPr>
        <w:t xml:space="preserve">)</w:t>
      </w:r>
    </w:p>
    <w:p>
      <w:pPr>
        <w:pStyle w:val="Normal"/>
        <w:widowControl w:val="false"/>
        <w:autoSpaceDE w:val="false"/>
        <w:spacing w:lineRule="auto" w:line="240" w:before="0" w:after="0"/>
        <w:ind w:firstLine="567" w:end="0"/>
        <w:rPr>
          <w:rFonts w:ascii="Times New Roman" w:hAnsi="Times New Roman" w:eastAsia="Times New Roman" w:cs="Times New Roman"/>
          <w:color w:val="FF0000"/>
          <w:sz w:val="24"/>
          <w:szCs w:val="24"/>
        </w:rPr>
      </w:pPr>
      <w:r>
        <w:rPr>
          <w:rFonts w:eastAsia="Times New Roman" w:cs="Times New Roman" w:ascii="Times New Roman" w:hAnsi="Times New Roman"/>
          <w:color w:val="FF0000"/>
          <w:sz w:val="24"/>
          <w:szCs w:val="24"/>
        </w:rPr>
      </w:r>
    </w:p>
    <w:tbl>
      <w:tblPr>
        <w:tblW w:w="9855" w:type="dxa"/>
        <w:jc w:val="center"/>
        <w:tblInd w:w="0" w:type="dxa"/>
        <w:tblLayout w:type="fixed"/>
        <w:tblCellMar>
          <w:top w:w="0" w:type="dxa"/>
          <w:start w:w="108" w:type="dxa"/>
          <w:bottom w:w="0" w:type="dxa"/>
          <w:end w:w="108" w:type="dxa"/>
        </w:tblCellMar>
      </w:tblPr>
      <w:tblGrid>
        <w:gridCol w:w="3759"/>
        <w:gridCol w:w="6096"/>
      </w:tblGrid>
      <w:tr>
        <w:trPr/>
        <w:tc>
          <w:tcPr>
            <w:tcW w:w="3759" w:type="dxa"/>
            <w:tcBorders>
              <w:top w:val="single" w:sz="4" w:space="0" w:color="7F7F7F"/>
              <w:start w:val="single" w:sz="4" w:space="0" w:color="7F7F7F"/>
              <w:bottom w:val="single" w:sz="4" w:space="0" w:color="7F7F7F"/>
              <w:end w:val="single" w:sz="4" w:space="0" w:color="7F7F7F"/>
            </w:tcBorders>
          </w:tcPr>
          <w:p>
            <w:pPr>
              <w:pStyle w:val="Normal"/>
              <w:widowControl w:val="false"/>
              <w:autoSpaceDE w:val="false"/>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Current control</w:t>
            </w:r>
          </w:p>
        </w:tc>
        <w:tc>
          <w:tcPr>
            <w:tcW w:w="6096" w:type="dxa"/>
            <w:tcBorders>
              <w:top w:val="single" w:sz="4" w:space="0" w:color="7F7F7F"/>
              <w:start w:val="single" w:sz="4" w:space="0" w:color="7F7F7F"/>
              <w:bottom w:val="single" w:sz="4" w:space="0" w:color="7F7F7F"/>
              <w:end w:val="single" w:sz="4" w:space="0" w:color="7F7F7F"/>
            </w:tcBorders>
          </w:tcPr>
          <w:p>
            <w:pPr>
              <w:pStyle w:val="Normal"/>
              <w:widowControl w:val="false"/>
              <w:autoSpaceDE w:val="false"/>
              <w:spacing w:lineRule="auto" w:line="240" w:before="0" w:after="0"/>
              <w:rPr/>
            </w:pPr>
            <w:r>
              <w:rPr>
                <w:rFonts w:eastAsia="Times New Roman" w:cs="Times New Roman" w:ascii="Times New Roman" w:hAnsi="Times New Roman"/>
                <w:sz w:val="24"/>
                <w:szCs w:val="24"/>
              </w:rPr>
              <w:t xml:space="preserve">By the system of traditional grades: </w:t>
              <w:br/>
              <w:t xml:space="preserve">5 “excellent”, 4 “good”, 3 “satisfactory”, 2 “unsatisfactory”</w:t>
            </w:r>
          </w:p>
        </w:tc>
      </w:tr>
      <w:tr>
        <w:trPr/>
        <w:tc>
          <w:tcPr>
            <w:tcW w:w="3759" w:type="dxa"/>
            <w:tcBorders>
              <w:top w:val="single" w:sz="4" w:space="0" w:color="7F7F7F"/>
              <w:start w:val="single" w:sz="4" w:space="0" w:color="7F7F7F"/>
              <w:bottom w:val="single" w:sz="4" w:space="0" w:color="7F7F7F"/>
              <w:end w:val="single" w:sz="4" w:space="0" w:color="7F7F7F"/>
            </w:tcBorders>
          </w:tcPr>
          <w:p>
            <w:pPr>
              <w:pStyle w:val="Normal"/>
              <w:widowControl w:val="false"/>
              <w:autoSpaceDE w:val="false"/>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Intermediate controls</w:t>
            </w:r>
          </w:p>
        </w:tc>
        <w:tc>
          <w:tcPr>
            <w:tcW w:w="6096" w:type="dxa"/>
            <w:tcBorders>
              <w:top w:val="single" w:sz="4" w:space="0" w:color="7F7F7F"/>
              <w:start w:val="single" w:sz="4" w:space="0" w:color="7F7F7F"/>
              <w:bottom w:val="single" w:sz="4" w:space="0" w:color="7F7F7F"/>
              <w:end w:val="single" w:sz="4" w:space="0" w:color="7F7F7F"/>
            </w:tcBorders>
          </w:tcPr>
          <w:p>
            <w:pPr>
              <w:pStyle w:val="Normal"/>
              <w:widowControl w:val="false"/>
              <w:autoSpaceDE w:val="false"/>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Not provided for by the curriculum</w:t>
            </w:r>
          </w:p>
        </w:tc>
      </w:tr>
      <w:tr>
        <w:trPr/>
        <w:tc>
          <w:tcPr>
            <w:tcW w:w="3759" w:type="dxa"/>
            <w:tcBorders>
              <w:top w:val="single" w:sz="4" w:space="0" w:color="7F7F7F"/>
              <w:start w:val="single" w:sz="4" w:space="0" w:color="7F7F7F"/>
              <w:bottom w:val="single" w:sz="4" w:space="0" w:color="7F7F7F"/>
              <w:end w:val="single" w:sz="4" w:space="0" w:color="7F7F7F"/>
            </w:tcBorders>
          </w:tcPr>
          <w:p>
            <w:pPr>
              <w:pStyle w:val="Normal"/>
              <w:widowControl w:val="false"/>
              <w:autoSpaceDE w:val="false"/>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Control of practical skills</w:t>
            </w:r>
          </w:p>
        </w:tc>
        <w:tc>
          <w:tcPr>
            <w:tcW w:w="6096" w:type="dxa"/>
            <w:tcBorders>
              <w:top w:val="single" w:sz="4" w:space="0" w:color="7F7F7F"/>
              <w:start w:val="single" w:sz="4" w:space="0" w:color="7F7F7F"/>
              <w:bottom w:val="single" w:sz="4" w:space="0" w:color="7F7F7F"/>
              <w:end w:val="single" w:sz="4" w:space="0" w:color="7F7F7F"/>
            </w:tcBorders>
          </w:tcPr>
          <w:p>
            <w:pPr>
              <w:pStyle w:val="Normal"/>
              <w:widowControl w:val="false"/>
              <w:autoSpaceDE w:val="false"/>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By the system of traditional grades</w:t>
            </w:r>
          </w:p>
        </w:tc>
      </w:tr>
      <w:tr>
        <w:trPr/>
        <w:tc>
          <w:tcPr>
            <w:tcW w:w="3759" w:type="dxa"/>
            <w:tcBorders>
              <w:top w:val="single" w:sz="4" w:space="0" w:color="7F7F7F"/>
              <w:start w:val="single" w:sz="4" w:space="0" w:color="7F7F7F"/>
              <w:bottom w:val="single" w:sz="4" w:space="0" w:color="7F7F7F"/>
              <w:end w:val="single" w:sz="4" w:space="0" w:color="7F7F7F"/>
            </w:tcBorders>
          </w:tcPr>
          <w:p>
            <w:pPr>
              <w:pStyle w:val="Normal"/>
              <w:widowControl w:val="false"/>
              <w:autoSpaceDE w:val="false"/>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Final control in the discipline</w:t>
            </w:r>
          </w:p>
        </w:tc>
        <w:tc>
          <w:tcPr>
            <w:tcW w:w="6096" w:type="dxa"/>
            <w:tcBorders>
              <w:top w:val="single" w:sz="4" w:space="0" w:color="7F7F7F"/>
              <w:start w:val="single" w:sz="4" w:space="0" w:color="7F7F7F"/>
              <w:bottom w:val="single" w:sz="4" w:space="0" w:color="7F7F7F"/>
              <w:end w:val="single" w:sz="4" w:space="0" w:color="7F7F7F"/>
            </w:tcBorders>
          </w:tcPr>
          <w:p>
            <w:pPr>
              <w:pStyle w:val="Normal"/>
              <w:widowControl w:val="false"/>
              <w:autoSpaceDE w:val="false"/>
              <w:spacing w:lineRule="auto" w:line="240" w:before="0" w:after="0"/>
              <w:rPr/>
            </w:pPr>
            <w:r>
              <w:rPr>
                <w:rFonts w:eastAsia="Times New Roman" w:cs="Times New Roman" w:ascii="Times New Roman" w:hAnsi="Times New Roman"/>
                <w:sz w:val="24"/>
                <w:szCs w:val="24"/>
              </w:rPr>
              <w:t xml:space="preserve">Credit: “passed” / “not passed”. The score for the discipline is determined by converting the arithmetic mean of the traditional grades of current performance into the 200-point scale, taking into account points for individual work.</w:t>
            </w:r>
          </w:p>
          <w:p>
            <w:pPr>
              <w:pStyle w:val="Normal"/>
              <w:widowControl w:val="false"/>
              <w:autoSpaceDE w:val="false"/>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At least 122 points are required to pass.</w:t>
            </w:r>
          </w:p>
        </w:tc>
      </w:tr>
      <w:tr>
        <w:trPr/>
        <w:tc>
          <w:tcPr>
            <w:tcW w:w="3759" w:type="dxa"/>
            <w:tcBorders>
              <w:top w:val="single" w:sz="4" w:space="0" w:color="7F7F7F"/>
              <w:start w:val="single" w:sz="4" w:space="0" w:color="7F7F7F"/>
              <w:bottom w:val="single" w:sz="4" w:space="0" w:color="7F7F7F"/>
              <w:end w:val="single" w:sz="4" w:space="0" w:color="7F7F7F"/>
            </w:tcBorders>
          </w:tcPr>
          <w:p>
            <w:pPr>
              <w:pStyle w:val="Normal"/>
              <w:widowControl w:val="false"/>
              <w:autoSpaceDE w:val="false"/>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Assessment of the discipline:</w:t>
            </w:r>
          </w:p>
        </w:tc>
        <w:tc>
          <w:tcPr>
            <w:tcW w:w="6096" w:type="dxa"/>
            <w:tcBorders>
              <w:top w:val="single" w:sz="4" w:space="0" w:color="7F7F7F"/>
              <w:start w:val="single" w:sz="4" w:space="0" w:color="7F7F7F"/>
              <w:bottom w:val="single" w:sz="4" w:space="0" w:color="7F7F7F"/>
              <w:end w:val="single" w:sz="4" w:space="0" w:color="7F7F7F"/>
            </w:tcBorders>
          </w:tcPr>
          <w:p>
            <w:pPr>
              <w:pStyle w:val="Normal"/>
              <w:widowControl w:val="false"/>
              <w:autoSpaceDE w:val="false"/>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Current performance (conversion of the mean traditional grade for practical classes into the 200-point scale)</w:t>
            </w:r>
          </w:p>
          <w:p>
            <w:pPr>
              <w:pStyle w:val="Normal"/>
              <w:widowControl w:val="false"/>
              <w:autoSpaceDE w:val="false"/>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Individual work – up to 12 points</w:t>
            </w:r>
          </w:p>
          <w:p>
            <w:pPr>
              <w:pStyle w:val="Normal"/>
              <w:widowControl w:val="false"/>
              <w:autoSpaceDE w:val="false"/>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Maximum – 200 points, minimum – 122 points.</w:t>
            </w:r>
          </w:p>
        </w:tc>
      </w:tr>
    </w:tbl>
    <w:p>
      <w:pPr>
        <w:pStyle w:val="Normal"/>
        <w:widowControl w:val="false"/>
        <w:tabs>
          <w:tab w:val="clear" w:pos="708"/>
          <w:tab w:val="left" w:pos="288" w:leader="none"/>
          <w:tab w:val="left" w:pos="432" w:leader="none"/>
          <w:tab w:val="left" w:pos="576" w:leader="none"/>
          <w:tab w:val="left" w:pos="1872" w:leader="none"/>
          <w:tab w:val="left" w:pos="3312" w:leader="none"/>
          <w:tab w:val="left" w:pos="4176" w:leader="none"/>
        </w:tabs>
        <w:autoSpaceDE w:val="false"/>
        <w:spacing w:lineRule="auto" w:line="240" w:before="0" w:after="0"/>
        <w:ind w:start="644" w:end="0"/>
        <w:jc w:val="both"/>
        <w:rPr>
          <w:rFonts w:ascii="Times New Roman" w:hAnsi="Times New Roman" w:eastAsia="Times New Roman" w:cs="Times New Roman"/>
          <w:b/>
        </w:rPr>
      </w:pPr>
      <w:r>
        <w:rPr>
          <w:rFonts w:eastAsia="Times New Roman" w:cs="Times New Roman" w:ascii="Times New Roman" w:hAnsi="Times New Roman"/>
          <w:b/>
        </w:rPr>
      </w:r>
    </w:p>
    <w:p>
      <w:pPr>
        <w:pStyle w:val="Normal"/>
        <w:spacing w:lineRule="auto" w:line="240" w:before="0" w:after="0"/>
        <w:ind w:firstLine="709" w:end="0"/>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rPr>
        <w:t xml:space="preserve">Grading scale: national and ECTS</w:t>
      </w:r>
    </w:p>
    <w:p>
      <w:pPr>
        <w:pStyle w:val="Normal"/>
        <w:spacing w:lineRule="auto" w:line="240" w:before="0" w:after="0"/>
        <w:ind w:firstLine="709" w:end="0"/>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r>
    </w:p>
    <w:tbl>
      <w:tblPr>
        <w:tblW w:w="9214" w:type="dxa"/>
        <w:jc w:val="center"/>
        <w:tblInd w:w="0" w:type="dxa"/>
        <w:tblLayout w:type="fixed"/>
        <w:tblCellMar>
          <w:top w:w="0" w:type="dxa"/>
          <w:start w:w="108" w:type="dxa"/>
          <w:bottom w:w="0" w:type="dxa"/>
          <w:end w:w="108" w:type="dxa"/>
        </w:tblCellMar>
      </w:tblPr>
      <w:tblGrid>
        <w:gridCol w:w="1701"/>
        <w:gridCol w:w="1134"/>
        <w:gridCol w:w="3240"/>
        <w:gridCol w:w="3139"/>
      </w:tblGrid>
      <w:tr>
        <w:trPr>
          <w:trHeight w:val="200" w:hRule="atLeast"/>
        </w:trPr>
        <w:tc>
          <w:tcPr>
            <w:tcW w:w="1701" w:type="dxa"/>
            <w:vMerge w:val="restart"/>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auto" w:line="240" w:before="0" w:after="0"/>
              <w:jc w:val="center"/>
              <w:rPr/>
            </w:pPr>
            <w:r>
              <w:rPr>
                <w:rFonts w:eastAsia="Times New Roman" w:cs="Times New Roman" w:ascii="Times New Roman" w:hAnsi="Times New Roman"/>
                <w:sz w:val="24"/>
                <w:szCs w:val="24"/>
              </w:rPr>
              <w:t xml:space="preserve">Total points for all types of academic activity</w:t>
            </w:r>
          </w:p>
        </w:tc>
        <w:tc>
          <w:tcPr>
            <w:tcW w:w="1134" w:type="dxa"/>
            <w:vMerge w:val="restart"/>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ECTS grade</w:t>
            </w:r>
          </w:p>
        </w:tc>
        <w:tc>
          <w:tcPr>
            <w:tcW w:w="6379" w:type="dxa"/>
            <w:gridSpan w:val="2"/>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auto" w:line="240" w:before="0" w:after="0"/>
              <w:jc w:val="center"/>
              <w:rPr/>
            </w:pPr>
            <w:r>
              <w:rPr>
                <w:rFonts w:eastAsia="Times New Roman" w:cs="Times New Roman" w:ascii="Times New Roman" w:hAnsi="Times New Roman"/>
                <w:sz w:val="24"/>
                <w:szCs w:val="24"/>
              </w:rPr>
              <w:t xml:space="preserve">Grade on the national scale</w:t>
            </w:r>
          </w:p>
        </w:tc>
      </w:tr>
      <w:tr>
        <w:trPr>
          <w:trHeight w:val="170" w:hRule="atLeast"/>
        </w:trPr>
        <w:tc>
          <w:tcPr>
            <w:tcW w:w="1701" w:type="dxa"/>
            <w:vMerge w:val="continue"/>
            <w:tcBorders>
              <w:top w:val="single" w:sz="4" w:space="0" w:color="000000"/>
              <w:start w:val="single" w:sz="4" w:space="0" w:color="000000"/>
              <w:bottom w:val="single" w:sz="4" w:space="0" w:color="000000"/>
              <w:end w:val="single" w:sz="4" w:space="0" w:color="000000"/>
            </w:tcBorders>
          </w:tcPr>
          <w:p>
            <w:pPr>
              <w:pStyle w:val="Normal"/>
              <w:widowControl w:val="false"/>
              <w:pBdr/>
              <w:autoSpaceDE w:val="false"/>
              <w:snapToGrid w:val="false"/>
              <w:spacing w:lineRule="auto" w:line="276"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1134" w:type="dxa"/>
            <w:vMerge w:val="continue"/>
            <w:tcBorders>
              <w:top w:val="single" w:sz="4" w:space="0" w:color="000000"/>
              <w:start w:val="single" w:sz="4" w:space="0" w:color="000000"/>
              <w:bottom w:val="single" w:sz="4" w:space="0" w:color="000000"/>
              <w:end w:val="single" w:sz="4" w:space="0" w:color="000000"/>
            </w:tcBorders>
          </w:tcPr>
          <w:p>
            <w:pPr>
              <w:pStyle w:val="Normal"/>
              <w:widowControl w:val="false"/>
              <w:pBdr/>
              <w:autoSpaceDE w:val="false"/>
              <w:snapToGrid w:val="false"/>
              <w:spacing w:lineRule="auto" w:line="276"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3240"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for exam, course project (paper), practice</w:t>
            </w:r>
          </w:p>
        </w:tc>
        <w:tc>
          <w:tcPr>
            <w:tcW w:w="3139"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for credit (pass/fail)</w:t>
            </w:r>
          </w:p>
        </w:tc>
      </w:tr>
      <w:tr>
        <w:trPr/>
        <w:tc>
          <w:tcPr>
            <w:tcW w:w="1701"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auto" w:line="240" w:before="0" w:after="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180-200</w:t>
            </w:r>
          </w:p>
        </w:tc>
        <w:tc>
          <w:tcPr>
            <w:tcW w:w="1134"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auto" w:line="240" w:before="0" w:after="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 xml:space="preserve">A</w:t>
            </w:r>
          </w:p>
        </w:tc>
        <w:tc>
          <w:tcPr>
            <w:tcW w:w="3240"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excellent</w:t>
            </w:r>
          </w:p>
        </w:tc>
        <w:tc>
          <w:tcPr>
            <w:tcW w:w="3139" w:type="dxa"/>
            <w:vMerge w:val="restart"/>
            <w:tcBorders>
              <w:top w:val="single" w:sz="4" w:space="0" w:color="000000"/>
              <w:start w:val="single" w:sz="4" w:space="0" w:color="000000"/>
              <w:bottom w:val="single" w:sz="4" w:space="0" w:color="000000"/>
              <w:end w:val="single" w:sz="4" w:space="0" w:color="000000"/>
            </w:tcBorders>
          </w:tcPr>
          <w:p>
            <w:pPr>
              <w:pStyle w:val="Normal"/>
              <w:widowControl w:val="false"/>
              <w:autoSpaceDE w:val="false"/>
              <w:snapToGrid w:val="false"/>
              <w:spacing w:lineRule="auto" w:line="240" w:before="0" w:after="0"/>
              <w:jc w:val="center"/>
              <w:rPr>
                <w:rFonts w:ascii="Times New Roman" w:hAnsi="Times New Roman" w:eastAsia="Times New Roman" w:cs="Times New Roman"/>
                <w:sz w:val="24"/>
                <w:szCs w:val="24"/>
              </w:rPr>
            </w:pPr>
            <w:r>
              <w:t xml:space="preserve"/>
            </w:r>
          </w:p>
          <w:p>
            <w:pPr>
              <w:pStyle w:val="Normal"/>
              <w:widowControl w:val="false"/>
              <w:autoSpaceDE w:val="false"/>
              <w:spacing w:lineRule="auto" w:line="240" w:before="0" w:after="0"/>
              <w:jc w:val="center"/>
              <w:rPr>
                <w:rFonts w:ascii="Times New Roman" w:hAnsi="Times New Roman" w:eastAsia="Times New Roman" w:cs="Times New Roman"/>
                <w:sz w:val="24"/>
                <w:szCs w:val="24"/>
              </w:rPr>
            </w:pPr>
            <w:r>
              <w:t xml:space="preserve"/>
            </w:r>
          </w:p>
          <w:p>
            <w:pPr>
              <w:pStyle w:val="Normal"/>
              <w:widowControl w:val="false"/>
              <w:autoSpaceDE w:val="false"/>
              <w:spacing w:lineRule="auto" w:line="240" w:before="0" w:after="0"/>
              <w:jc w:val="center"/>
              <w:rPr>
                <w:rFonts w:ascii="Times New Roman" w:hAnsi="Times New Roman" w:eastAsia="Times New Roman" w:cs="Times New Roman"/>
                <w:b/>
                <w:sz w:val="24"/>
                <w:szCs w:val="24"/>
              </w:rPr>
            </w:pPr>
            <w:r>
              <w:rPr>
                <w:rFonts w:eastAsia="Times New Roman" w:cs="Times New Roman" w:ascii="Times New Roman" w:hAnsi="Times New Roman"/>
                <w:sz w:val="24"/>
                <w:szCs w:val="24"/>
              </w:rPr>
              <w:t xml:space="preserve">passed</w:t>
            </w:r>
          </w:p>
        </w:tc>
      </w:tr>
      <w:tr>
        <w:trPr/>
        <w:tc>
          <w:tcPr>
            <w:tcW w:w="1701"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auto" w:line="240" w:before="0" w:after="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170-179,99</w:t>
            </w:r>
          </w:p>
        </w:tc>
        <w:tc>
          <w:tcPr>
            <w:tcW w:w="1134"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auto" w:line="240" w:before="0" w:after="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 xml:space="preserve">B</w:t>
            </w:r>
          </w:p>
        </w:tc>
        <w:tc>
          <w:tcPr>
            <w:tcW w:w="3240" w:type="dxa"/>
            <w:vMerge w:val="restart"/>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good</w:t>
            </w:r>
          </w:p>
        </w:tc>
        <w:tc>
          <w:tcPr>
            <w:tcW w:w="3139" w:type="dxa"/>
            <w:vMerge w:val="continue"/>
            <w:tcBorders>
              <w:top w:val="single" w:sz="4" w:space="0" w:color="000000"/>
              <w:start w:val="single" w:sz="4" w:space="0" w:color="000000"/>
              <w:bottom w:val="single" w:sz="4" w:space="0" w:color="000000"/>
              <w:end w:val="single" w:sz="4" w:space="0" w:color="000000"/>
            </w:tcBorders>
          </w:tcPr>
          <w:p>
            <w:pPr>
              <w:pStyle w:val="Normal"/>
              <w:widowControl w:val="false"/>
              <w:pBdr/>
              <w:autoSpaceDE w:val="false"/>
              <w:snapToGrid w:val="false"/>
              <w:spacing w:lineRule="auto" w:line="276"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r>
      <w:tr>
        <w:trPr/>
        <w:tc>
          <w:tcPr>
            <w:tcW w:w="1701"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auto" w:line="240" w:before="0" w:after="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160-169,99</w:t>
            </w:r>
          </w:p>
        </w:tc>
        <w:tc>
          <w:tcPr>
            <w:tcW w:w="1134"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auto" w:line="240" w:before="0" w:after="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 xml:space="preserve">C</w:t>
            </w:r>
          </w:p>
        </w:tc>
        <w:tc>
          <w:tcPr>
            <w:tcW w:w="3240" w:type="dxa"/>
            <w:vMerge w:val="continue"/>
            <w:tcBorders>
              <w:top w:val="single" w:sz="4" w:space="0" w:color="000000"/>
              <w:start w:val="single" w:sz="4" w:space="0" w:color="000000"/>
              <w:bottom w:val="single" w:sz="4" w:space="0" w:color="000000"/>
              <w:end w:val="single" w:sz="4" w:space="0" w:color="000000"/>
            </w:tcBorders>
          </w:tcPr>
          <w:p>
            <w:pPr>
              <w:pStyle w:val="Normal"/>
              <w:widowControl w:val="false"/>
              <w:pBdr/>
              <w:autoSpaceDE w:val="false"/>
              <w:snapToGrid w:val="false"/>
              <w:spacing w:lineRule="auto" w:line="276" w:before="0" w:after="0"/>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tc>
        <w:tc>
          <w:tcPr>
            <w:tcW w:w="3139" w:type="dxa"/>
            <w:vMerge w:val="continue"/>
            <w:tcBorders>
              <w:top w:val="single" w:sz="4" w:space="0" w:color="000000"/>
              <w:start w:val="single" w:sz="4" w:space="0" w:color="000000"/>
              <w:bottom w:val="single" w:sz="4" w:space="0" w:color="000000"/>
              <w:end w:val="single" w:sz="4" w:space="0" w:color="000000"/>
            </w:tcBorders>
          </w:tcPr>
          <w:p>
            <w:pPr>
              <w:pStyle w:val="Normal"/>
              <w:widowControl w:val="false"/>
              <w:pBdr/>
              <w:autoSpaceDE w:val="false"/>
              <w:snapToGrid w:val="false"/>
              <w:spacing w:lineRule="auto" w:line="276" w:before="0" w:after="0"/>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tc>
      </w:tr>
      <w:tr>
        <w:trPr/>
        <w:tc>
          <w:tcPr>
            <w:tcW w:w="1701"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auto" w:line="240" w:before="0" w:after="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141-159,99</w:t>
            </w:r>
          </w:p>
        </w:tc>
        <w:tc>
          <w:tcPr>
            <w:tcW w:w="1134"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auto" w:line="240" w:before="0" w:after="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 xml:space="preserve">D</w:t>
            </w:r>
          </w:p>
        </w:tc>
        <w:tc>
          <w:tcPr>
            <w:tcW w:w="3240"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satisfactory</w:t>
            </w:r>
          </w:p>
        </w:tc>
        <w:tc>
          <w:tcPr>
            <w:tcW w:w="3139" w:type="dxa"/>
            <w:vMerge w:val="continue"/>
            <w:tcBorders>
              <w:top w:val="single" w:sz="4" w:space="0" w:color="000000"/>
              <w:start w:val="single" w:sz="4" w:space="0" w:color="000000"/>
              <w:bottom w:val="single" w:sz="4" w:space="0" w:color="000000"/>
              <w:end w:val="single" w:sz="4" w:space="0" w:color="000000"/>
            </w:tcBorders>
          </w:tcPr>
          <w:p>
            <w:pPr>
              <w:pStyle w:val="Normal"/>
              <w:widowControl w:val="false"/>
              <w:pBdr/>
              <w:autoSpaceDE w:val="false"/>
              <w:snapToGrid w:val="false"/>
              <w:spacing w:lineRule="auto" w:line="276"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r>
      <w:tr>
        <w:trPr>
          <w:trHeight w:val="118" w:hRule="atLeast"/>
        </w:trPr>
        <w:tc>
          <w:tcPr>
            <w:tcW w:w="1701"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auto" w:line="240" w:before="0" w:after="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122-140,99</w:t>
            </w:r>
          </w:p>
        </w:tc>
        <w:tc>
          <w:tcPr>
            <w:tcW w:w="1134"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auto" w:line="240" w:before="0" w:after="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 xml:space="preserve">E</w:t>
            </w:r>
          </w:p>
        </w:tc>
        <w:tc>
          <w:tcPr>
            <w:tcW w:w="3240"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auto" w:line="240" w:before="0" w:after="0"/>
              <w:jc w:val="center"/>
              <w:rPr>
                <w:rFonts w:ascii="Times New Roman" w:hAnsi="Times New Roman" w:eastAsia="Times New Roman" w:cs="Times New Roman"/>
                <w:b/>
                <w:sz w:val="24"/>
                <w:szCs w:val="24"/>
              </w:rPr>
            </w:pPr>
            <w:r>
              <w:rPr>
                <w:rFonts w:eastAsia="Times New Roman" w:cs="Times New Roman" w:ascii="Times New Roman" w:hAnsi="Times New Roman"/>
                <w:sz w:val="24"/>
                <w:szCs w:val="24"/>
              </w:rPr>
              <w:t xml:space="preserve">satisfactory</w:t>
            </w:r>
          </w:p>
        </w:tc>
        <w:tc>
          <w:tcPr>
            <w:tcW w:w="3139" w:type="dxa"/>
            <w:vMerge w:val="continue"/>
            <w:tcBorders>
              <w:top w:val="single" w:sz="4" w:space="0" w:color="000000"/>
              <w:start w:val="single" w:sz="4" w:space="0" w:color="000000"/>
              <w:bottom w:val="single" w:sz="4" w:space="0" w:color="000000"/>
              <w:end w:val="single" w:sz="4" w:space="0" w:color="000000"/>
            </w:tcBorders>
          </w:tcPr>
          <w:p>
            <w:pPr>
              <w:pStyle w:val="Normal"/>
              <w:widowControl w:val="false"/>
              <w:pBdr/>
              <w:autoSpaceDE w:val="false"/>
              <w:snapToGrid w:val="false"/>
              <w:spacing w:lineRule="auto" w:line="276" w:before="0" w:after="0"/>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tc>
      </w:tr>
      <w:tr>
        <w:trPr/>
        <w:tc>
          <w:tcPr>
            <w:tcW w:w="1701"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16"/>
              <w:ind w:firstLine="175" w:end="0"/>
              <w:jc w:val="both"/>
              <w:rPr>
                <w:rFonts w:ascii="Times New Roman" w:hAnsi="Times New Roman" w:eastAsia="Times New Roman" w:cs="Times New Roman"/>
                <w:b/>
                <w:sz w:val="24"/>
                <w:lang w:eastAsia="uk-UA"/>
              </w:rPr>
            </w:pPr>
            <w:r>
              <w:rPr>
                <w:rFonts w:eastAsia="Times New Roman" w:cs="Times New Roman" w:ascii="Times New Roman" w:hAnsi="Times New Roman"/>
                <w:b/>
                <w:sz w:val="24"/>
                <w:lang w:eastAsia="uk-UA"/>
              </w:rPr>
              <w:t>60-121,99</w:t>
            </w:r>
          </w:p>
        </w:tc>
        <w:tc>
          <w:tcPr>
            <w:tcW w:w="1134"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auto" w:line="240" w:before="0" w:after="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 xml:space="preserve">FX</w:t>
            </w:r>
          </w:p>
        </w:tc>
        <w:tc>
          <w:tcPr>
            <w:tcW w:w="3240"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unsatisfactory, with the possibility of retaking</w:t>
            </w:r>
          </w:p>
        </w:tc>
        <w:tc>
          <w:tcPr>
            <w:tcW w:w="3139"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not passed, with the possibility of retaking</w:t>
            </w:r>
          </w:p>
        </w:tc>
      </w:tr>
      <w:tr>
        <w:trPr/>
        <w:tc>
          <w:tcPr>
            <w:tcW w:w="1701"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16"/>
              <w:ind w:firstLine="175" w:end="0"/>
              <w:jc w:val="both"/>
              <w:rPr>
                <w:rFonts w:ascii="Times New Roman" w:hAnsi="Times New Roman" w:eastAsia="Times New Roman" w:cs="Times New Roman"/>
                <w:b/>
                <w:sz w:val="24"/>
                <w:lang w:eastAsia="uk-UA"/>
              </w:rPr>
            </w:pPr>
            <w:r>
              <w:rPr>
                <w:rFonts w:eastAsia="Times New Roman" w:cs="Times New Roman" w:ascii="Times New Roman" w:hAnsi="Times New Roman"/>
                <w:b/>
                <w:sz w:val="24"/>
                <w:lang w:eastAsia="uk-UA"/>
              </w:rPr>
              <w:t>0-59,99</w:t>
            </w:r>
          </w:p>
        </w:tc>
        <w:tc>
          <w:tcPr>
            <w:tcW w:w="1134"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auto" w:line="240" w:before="0" w:after="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 xml:space="preserve">F</w:t>
            </w:r>
          </w:p>
        </w:tc>
        <w:tc>
          <w:tcPr>
            <w:tcW w:w="3240"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auto" w:line="240" w:before="0" w:after="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unsatisfactory, with mandatory repeated study of the discipline</w:t>
            </w:r>
          </w:p>
        </w:tc>
        <w:tc>
          <w:tcPr>
            <w:tcW w:w="3139" w:type="dxa"/>
            <w:tcBorders>
              <w:top w:val="single" w:sz="4" w:space="0" w:color="000000"/>
              <w:start w:val="single" w:sz="4" w:space="0" w:color="000000"/>
              <w:bottom w:val="single" w:sz="4" w:space="0" w:color="000000"/>
              <w:end w:val="single" w:sz="4" w:space="0" w:color="000000"/>
            </w:tcBorders>
          </w:tcPr>
          <w:p>
            <w:pPr>
              <w:pStyle w:val="Normal"/>
              <w:widowControl w:val="false"/>
              <w:autoSpaceDE w:val="false"/>
              <w:spacing w:lineRule="auto" w:line="240" w:before="0" w:after="0"/>
              <w:jc w:val="center"/>
              <w:rPr>
                <w:rFonts w:ascii="Times New Roman" w:hAnsi="Times New Roman" w:eastAsia="Times New Roman" w:cs="Times New Roman"/>
                <w:b/>
                <w:sz w:val="24"/>
                <w:szCs w:val="24"/>
              </w:rPr>
            </w:pPr>
            <w:r>
              <w:rPr>
                <w:rFonts w:eastAsia="Times New Roman" w:cs="Times New Roman" w:ascii="Times New Roman" w:hAnsi="Times New Roman"/>
                <w:sz w:val="24"/>
                <w:szCs w:val="24"/>
              </w:rPr>
              <w:t xml:space="preserve">not passed, with mandatory repeated study of the discipline</w:t>
            </w:r>
          </w:p>
        </w:tc>
      </w:tr>
    </w:tbl>
    <w:p>
      <w:pPr>
        <w:pStyle w:val="Normal"/>
        <w:widowControl w:val="false"/>
        <w:numPr>
          <w:ilvl w:val="0"/>
          <w:numId w:val="0"/>
        </w:numPr>
        <w:tabs>
          <w:tab w:val="clear" w:pos="708"/>
          <w:tab w:val="left" w:pos="567" w:leader="none"/>
          <w:tab w:val="left" w:pos="709" w:leader="none"/>
          <w:tab w:val="left" w:pos="851" w:leader="none"/>
          <w:tab w:val="left" w:pos="993" w:leader="none"/>
        </w:tabs>
        <w:autoSpaceDE w:val="false"/>
        <w:spacing w:lineRule="auto" w:line="240" w:before="1" w:after="0"/>
        <w:ind w:start="284" w:end="0"/>
        <w:outlineLvl w:val="0"/>
        <w:rPr>
          <w:rFonts w:ascii="Times New Roman" w:hAnsi="Times New Roman" w:eastAsia="Times New Roman" w:cs="Times New Roman"/>
          <w:b/>
          <w:bCs/>
          <w:color w:val="0000FF"/>
          <w:sz w:val="24"/>
          <w:szCs w:val="24"/>
        </w:rPr>
      </w:pPr>
      <w:r>
        <w:rPr>
          <w:rFonts w:eastAsia="Times New Roman" w:cs="Times New Roman" w:ascii="Times New Roman" w:hAnsi="Times New Roman"/>
          <w:b/>
          <w:bCs/>
          <w:color w:val="0000FF"/>
          <w:sz w:val="24"/>
          <w:szCs w:val="24"/>
        </w:rPr>
      </w:r>
    </w:p>
    <w:p>
      <w:pPr>
        <w:pStyle w:val="Normal"/>
        <w:widowControl w:val="false"/>
        <w:autoSpaceDE w:val="false"/>
        <w:spacing w:lineRule="auto" w:line="240" w:before="0" w:after="0"/>
        <w:ind w:end="-2"/>
        <w:jc w:val="center"/>
        <w:rPr>
          <w:rFonts w:ascii="Times New Roman" w:hAnsi="Times New Roman" w:eastAsia="Times New Roman" w:cs="Times New Roman"/>
          <w:b/>
          <w:i/>
          <w:i/>
          <w:sz w:val="24"/>
          <w:szCs w:val="24"/>
          <w:lang w:eastAsia="uk-UA"/>
        </w:rPr>
      </w:pPr>
      <w:r>
        <w:rPr>
          <w:b/>
          <w:rFonts w:eastAsia="Times New Roman" w:cs="Times New Roman" w:ascii="Times New Roman" w:hAnsi="Times New Roman"/>
          <w:sz w:val="24"/>
          <w:szCs w:val="24"/>
        </w:rPr>
        <w:t xml:space="preserve">Criteria for assessing students’ knowledge</w:t>
      </w:r>
    </w:p>
    <w:p>
      <w:pPr>
        <w:pStyle w:val="Normal"/>
        <w:widowControl w:val="false"/>
        <w:autoSpaceDE w:val="false"/>
        <w:spacing w:lineRule="auto" w:line="240" w:before="0" w:after="0"/>
        <w:ind w:firstLine="708" w:end="-2"/>
        <w:jc w:val="both"/>
        <w:rPr/>
      </w:pPr>
      <w:r>
        <w:rPr>
          <w:rFonts w:eastAsia="Times New Roman" w:cs="Times New Roman" w:ascii="Times New Roman" w:hAnsi="Times New Roman"/>
          <w:b/>
          <w:i/>
          <w:sz w:val="24"/>
          <w:szCs w:val="24"/>
        </w:rPr>
        <w:t xml:space="preserve">Assessment of oral/written answers during current control</w:t>
      </w:r>
    </w:p>
    <w:p>
      <w:pPr>
        <w:pStyle w:val="Normal"/>
        <w:widowControl w:val="false"/>
        <w:numPr>
          <w:ilvl w:val="0"/>
          <w:numId w:val="0"/>
        </w:numPr>
        <w:autoSpaceDE w:val="false"/>
        <w:spacing w:lineRule="auto" w:line="240" w:before="0" w:after="0"/>
        <w:ind w:firstLine="567" w:end="0"/>
        <w:jc w:val="both"/>
        <w:outlineLvl w:val="1"/>
        <w:rPr/>
      </w:pPr>
      <w:r>
        <w:rPr>
          <w:b/>
          <w:rFonts w:eastAsia="Times New Roman" w:cs="Times New Roman" w:ascii="Times New Roman" w:hAnsi="Times New Roman"/>
          <w:sz w:val="24"/>
          <w:szCs w:val="24"/>
        </w:rPr>
        <w:t xml:space="preserve">Grade “excellent”</w:t>
      </w:r>
      <w:r>
        <w:rPr>
          <w:rFonts w:eastAsia="Times New Roman" w:cs="Times New Roman" w:ascii="Times New Roman" w:hAnsi="Times New Roman"/>
          <w:sz w:val="24"/>
          <w:szCs w:val="24"/>
        </w:rPr>
        <w:t xml:space="preserve"> – the highest grade, given to a higher education student who has formulated the answer competently, used the terminology of the discipline professionally, shown systematic and deep knowledge of the program material, and correctly and fully completed the assigned tasks. In addition, the student must interpret the results obtained competently, demonstrate knowledge of the main and additional literature, and possess practical skills in full.</w:t>
      </w:r>
    </w:p>
    <w:p>
      <w:pPr>
        <w:pStyle w:val="Normal"/>
        <w:spacing w:lineRule="auto" w:line="240" w:before="0" w:after="0"/>
        <w:ind w:firstLine="567" w:end="0"/>
        <w:jc w:val="both"/>
        <w:rPr/>
      </w:pPr>
      <w:r>
        <w:rPr>
          <w:b/>
          <w:rFonts w:eastAsia="Times New Roman" w:cs="Times New Roman" w:ascii="Times New Roman" w:hAnsi="Times New Roman"/>
          <w:sz w:val="24"/>
          <w:szCs w:val="24"/>
        </w:rPr>
        <w:t xml:space="preserve">Grade “good”</w:t>
      </w:r>
      <w:r>
        <w:rPr>
          <w:rFonts w:eastAsia="Times New Roman" w:cs="Times New Roman" w:ascii="Times New Roman" w:hAnsi="Times New Roman"/>
          <w:sz w:val="24"/>
          <w:szCs w:val="24"/>
        </w:rPr>
        <w:t xml:space="preserve"> is given to a higher education student who has shown full knowledge of the material provided by the program, correctly completed the assigned tasks, possesses practical skills, and answers questions competently using the terminology of the discipline. In addition, the student interprets the results obtained competently and demonstrates knowledge of the literature, but made some mistakes in the answer that are not of a fundamental nature.</w:t>
      </w:r>
    </w:p>
    <w:p>
      <w:pPr>
        <w:pStyle w:val="Normal"/>
        <w:spacing w:lineRule="auto" w:line="240" w:before="0" w:after="0"/>
        <w:ind w:firstLine="567" w:end="0"/>
        <w:jc w:val="both"/>
        <w:rPr/>
      </w:pPr>
      <w:r>
        <w:rPr>
          <w:b/>
          <w:rFonts w:eastAsia="Times New Roman" w:cs="Times New Roman" w:ascii="Times New Roman" w:hAnsi="Times New Roman"/>
          <w:sz w:val="24"/>
          <w:szCs w:val="24"/>
        </w:rPr>
        <w:t xml:space="preserve">Grade “satisfactory”</w:t>
      </w:r>
      <w:r>
        <w:rPr>
          <w:rFonts w:eastAsia="Times New Roman" w:cs="Times New Roman" w:ascii="Times New Roman" w:hAnsi="Times New Roman"/>
          <w:sz w:val="24"/>
          <w:szCs w:val="24"/>
        </w:rPr>
        <w:t xml:space="preserve"> is given to a higher education student who has mastered the basic issues of the program material of the discipline. In the answer, the student showed knowledge to the extent necessary for further study and work in the specialty, demonstrated knowledge of the main literature, but made minor mistakes. The student possesses practical skills not in full and makes logical and terminological errors. At the same time, the student must complete the tasks provided by the program of the discipline.</w:t>
      </w:r>
    </w:p>
    <w:p>
      <w:pPr>
        <w:pStyle w:val="Normal"/>
        <w:spacing w:lineRule="auto" w:line="240" w:before="0" w:after="0"/>
        <w:ind w:firstLine="567" w:end="0"/>
        <w:jc w:val="both"/>
        <w:rPr/>
      </w:pPr>
      <w:r>
        <w:rPr>
          <w:b/>
          <w:rFonts w:eastAsia="Times New Roman" w:cs="Times New Roman" w:ascii="Times New Roman" w:hAnsi="Times New Roman"/>
          <w:sz w:val="24"/>
          <w:szCs w:val="24"/>
        </w:rPr>
        <w:t xml:space="preserve">Grade “unsatisfactory”</w:t>
      </w:r>
      <w:r>
        <w:rPr>
          <w:rFonts w:eastAsia="Times New Roman" w:cs="Times New Roman" w:ascii="Times New Roman" w:hAnsi="Times New Roman"/>
          <w:sz w:val="24"/>
          <w:szCs w:val="24"/>
        </w:rPr>
        <w:t xml:space="preserve"> is given to a higher education student who has not answered the main questions of the program material, does not possess the terminology of the discipline, was unable to solve the problem, made fundamental errors, does not possess practical skills, and showed a lack of knowledge of the main literature.</w:t>
      </w:r>
    </w:p>
    <w:p>
      <w:pPr>
        <w:pStyle w:val="Normal"/>
        <w:widowControl w:val="false"/>
        <w:autoSpaceDE w:val="false"/>
        <w:spacing w:lineRule="auto" w:line="240" w:before="0" w:after="0"/>
        <w:ind w:firstLine="708" w:end="-2"/>
        <w:jc w:val="both"/>
        <w:rPr/>
      </w:pPr>
      <w:r>
        <w:rPr>
          <w:b/>
          <w:rFonts w:eastAsia="Times New Roman" w:cs="Times New Roman" w:ascii="Times New Roman" w:hAnsi="Times New Roman"/>
          <w:i/>
          <w:sz w:val="24"/>
          <w:szCs w:val="24"/>
        </w:rPr>
        <w:t xml:space="preserve">Assessment of test tasks during current control</w:t>
      </w:r>
    </w:p>
    <w:p>
      <w:pPr>
        <w:pStyle w:val="Normal"/>
        <w:widowControl w:val="false"/>
        <w:numPr>
          <w:ilvl w:val="0"/>
          <w:numId w:val="0"/>
        </w:numPr>
        <w:autoSpaceDE w:val="false"/>
        <w:spacing w:lineRule="auto" w:line="240" w:before="0" w:after="0"/>
        <w:ind w:firstLine="567" w:end="0"/>
        <w:jc w:val="both"/>
        <w:outlineLvl w:val="1"/>
        <w:rPr/>
      </w:pPr>
      <w:r>
        <w:rPr>
          <w:b/>
          <w:rFonts w:eastAsia="Times New Roman" w:cs="Times New Roman" w:ascii="Times New Roman" w:hAnsi="Times New Roman"/>
          <w:sz w:val="24"/>
          <w:szCs w:val="24"/>
        </w:rPr>
        <w:t xml:space="preserve">Grade “excellent”</w:t>
      </w:r>
      <w:r>
        <w:rPr>
          <w:rFonts w:eastAsia="Times New Roman" w:cs="Times New Roman" w:ascii="Times New Roman" w:hAnsi="Times New Roman"/>
          <w:sz w:val="24"/>
          <w:szCs w:val="24"/>
        </w:rPr>
        <w:t xml:space="preserve"> is given to a student who makes no more than 10% incorrect answers in test control (90–100% correct answers). When solving clinically oriented test tasks, the student gives correct answers to all questions of the test.</w:t>
      </w:r>
    </w:p>
    <w:p>
      <w:pPr>
        <w:pStyle w:val="Normal"/>
        <w:widowControl w:val="false"/>
        <w:numPr>
          <w:ilvl w:val="0"/>
          <w:numId w:val="0"/>
        </w:numPr>
        <w:autoSpaceDE w:val="false"/>
        <w:spacing w:lineRule="auto" w:line="240" w:before="0" w:after="0"/>
        <w:ind w:firstLine="567" w:end="0"/>
        <w:jc w:val="both"/>
        <w:outlineLvl w:val="1"/>
        <w:rPr/>
      </w:pPr>
      <w:r>
        <w:rPr>
          <w:b/>
          <w:rFonts w:eastAsia="Times New Roman" w:cs="Times New Roman" w:ascii="Times New Roman" w:hAnsi="Times New Roman"/>
          <w:sz w:val="24"/>
          <w:szCs w:val="24"/>
        </w:rPr>
        <w:t xml:space="preserve">Grade “good”</w:t>
      </w:r>
      <w:r>
        <w:rPr>
          <w:rFonts w:eastAsia="Times New Roman" w:cs="Times New Roman" w:ascii="Times New Roman" w:hAnsi="Times New Roman"/>
          <w:sz w:val="24"/>
          <w:szCs w:val="24"/>
        </w:rPr>
        <w:t xml:space="preserve"> is given to a student who makes no more than 20% errors in test control (80–89% correct answers). When solving clinically oriented test tasks, the student gives correct answers to most questions of the test.</w:t>
      </w:r>
    </w:p>
    <w:p>
      <w:pPr>
        <w:pStyle w:val="Normal"/>
        <w:widowControl w:val="false"/>
        <w:numPr>
          <w:ilvl w:val="0"/>
          <w:numId w:val="0"/>
        </w:numPr>
        <w:autoSpaceDE w:val="false"/>
        <w:spacing w:lineRule="auto" w:line="240" w:before="0" w:after="0"/>
        <w:ind w:firstLine="567" w:end="0"/>
        <w:jc w:val="both"/>
        <w:outlineLvl w:val="1"/>
        <w:rPr/>
      </w:pPr>
      <w:r>
        <w:rPr>
          <w:b/>
          <w:rFonts w:eastAsia="Times New Roman" w:cs="Times New Roman" w:ascii="Times New Roman" w:hAnsi="Times New Roman"/>
          <w:sz w:val="24"/>
          <w:szCs w:val="24"/>
        </w:rPr>
        <w:t xml:space="preserve">Grade “satisfactory”</w:t>
      </w:r>
      <w:r>
        <w:rPr>
          <w:rFonts w:eastAsia="Times New Roman" w:cs="Times New Roman" w:ascii="Times New Roman" w:hAnsi="Times New Roman"/>
          <w:sz w:val="24"/>
          <w:szCs w:val="24"/>
        </w:rPr>
        <w:t xml:space="preserve"> is given to a student who makes errors in no more than 40% of test tasks (60.5–79% correct answers). When solving clinically oriented test tasks, the student gives correct answers to only some questions of the test.</w:t>
      </w:r>
    </w:p>
    <w:p>
      <w:pPr>
        <w:pStyle w:val="Normal"/>
        <w:widowControl w:val="false"/>
        <w:numPr>
          <w:ilvl w:val="0"/>
          <w:numId w:val="0"/>
        </w:numPr>
        <w:autoSpaceDE w:val="false"/>
        <w:spacing w:lineRule="auto" w:line="240" w:before="0" w:after="0"/>
        <w:ind w:firstLine="567" w:end="0"/>
        <w:jc w:val="both"/>
        <w:outlineLvl w:val="1"/>
        <w:rPr/>
      </w:pPr>
      <w:r>
        <w:rPr>
          <w:b/>
          <w:rFonts w:eastAsia="Times New Roman" w:cs="Times New Roman" w:ascii="Times New Roman" w:hAnsi="Times New Roman"/>
          <w:sz w:val="24"/>
          <w:szCs w:val="24"/>
        </w:rPr>
        <w:t xml:space="preserve">Grade “unsatisfactory”</w:t>
      </w:r>
      <w:r>
        <w:rPr>
          <w:rFonts w:eastAsia="Times New Roman" w:cs="Times New Roman" w:ascii="Times New Roman" w:hAnsi="Times New Roman"/>
          <w:sz w:val="24"/>
          <w:szCs w:val="24"/>
        </w:rPr>
        <w:t xml:space="preserve"> is given to a student who correctly solves fewer than 60% of test tasks in test control. When solving clinically oriented test tasks, the student cannot give correct answers to the questions of the test.</w:t>
      </w:r>
    </w:p>
    <w:p>
      <w:pPr>
        <w:pStyle w:val="Normal"/>
        <w:spacing w:lineRule="auto" w:line="240" w:before="0" w:after="0"/>
        <w:ind w:firstLine="567" w:end="0"/>
        <w:jc w:val="both"/>
        <w:rPr/>
      </w:pPr>
      <w:r>
        <w:rPr>
          <w:rFonts w:eastAsia="Times New Roman" w:cs="Times New Roman" w:ascii="Times New Roman" w:hAnsi="Times New Roman"/>
          <w:sz w:val="24"/>
          <w:szCs w:val="24"/>
        </w:rPr>
        <w:t xml:space="preserve">The criteria for assessing all other types of students’ academic work are based on the requirements of the Regulations on the Organization of the Educational Process at Pirogov Vinnytsya National Medical University (</w:t>
      </w:r>
      <w:hyperlink r:id="rId7">
        <w:r>
          <w:rPr>
            <w:rStyle w:val="Hyperlink"/>
            <w:rFonts w:eastAsia="Times New Roman" w:cs="Times New Roman" w:ascii="Times New Roman" w:hAnsi="Times New Roman"/>
            <w:color w:val="0000FF"/>
            <w:sz w:val="24"/>
            <w:szCs w:val="24"/>
            <w:u w:val="single"/>
            <w:lang w:val="en-US"/>
          </w:rPr>
          <w:t>ht</w:t>
        </w:r>
        <w:r>
          <w:rPr>
            <w:rStyle w:val="Hyperlink"/>
            <w:rFonts w:eastAsia="Times New Roman" w:cs="Times New Roman" w:ascii="Times New Roman" w:hAnsi="Times New Roman"/>
            <w:color w:val="0000FF"/>
            <w:sz w:val="24"/>
            <w:szCs w:val="24"/>
            <w:u w:val="single"/>
          </w:rPr>
          <w:t>tps://www.vnmu.edu.ua/downloads/other/polog_organiz_ocv_proc(2026).pdf</w:t>
        </w:r>
      </w:hyperlink>
      <w:r>
        <w:rPr>
          <w:rFonts w:eastAsia="Times New Roman" w:cs="Times New Roman" w:ascii="Times New Roman" w:hAnsi="Times New Roman"/>
          <w:sz w:val="24"/>
          <w:szCs w:val="24"/>
        </w:rPr>
        <w:t xml:space="preserve">) and are specified in the work program of the discipline.</w:t>
      </w:r>
    </w:p>
    <w:p>
      <w:pPr>
        <w:pStyle w:val="Normal"/>
        <w:spacing w:lineRule="auto" w:line="240" w:before="0" w:after="0"/>
        <w:ind w:firstLine="567" w:end="0"/>
        <w:jc w:val="both"/>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rPr>
        <w:t xml:space="preserve">Assessment of self-study.</w:t>
      </w:r>
    </w:p>
    <w:p>
      <w:pPr>
        <w:pStyle w:val="Normal"/>
        <w:spacing w:lineRule="auto" w:line="240" w:before="0" w:after="0"/>
        <w:ind w:firstLine="567" w:end="0"/>
        <w:jc w:val="both"/>
        <w:rPr>
          <w:rFonts w:ascii="Times New Roman" w:hAnsi="Times New Roman" w:eastAsia="Times New Roman" w:cs="Times New Roman"/>
          <w:bCs/>
          <w:sz w:val="24"/>
          <w:szCs w:val="24"/>
          <w:lang w:eastAsia="ru-RU"/>
        </w:rPr>
      </w:pPr>
      <w:r>
        <w:rPr>
          <w:rFonts w:eastAsia="Times New Roman" w:cs="Times New Roman" w:ascii="Times New Roman" w:hAnsi="Times New Roman"/>
          <w:sz w:val="24"/>
          <w:szCs w:val="24"/>
        </w:rPr>
        <w:t xml:space="preserve">Assessment of students’ self-study is carried out during current and final control of mastery of the topics of the discipline, on the basis of evaluating the demonstration of practical skills, an oral answer to a theoretical question, testing or solving situational problems in accordance with the topics assigned for independent study.</w:t>
      </w:r>
    </w:p>
    <w:p>
      <w:pPr>
        <w:pStyle w:val="Normal"/>
        <w:widowControl w:val="false"/>
        <w:autoSpaceDE w:val="false"/>
        <w:spacing w:lineRule="auto" w:line="240" w:before="0" w:after="0"/>
        <w:ind w:firstLine="708" w:end="-2"/>
        <w:jc w:val="both"/>
        <w:rPr/>
      </w:pPr>
      <w:r>
        <w:rPr>
          <w:b/>
          <w:rFonts w:eastAsia="Times New Roman" w:cs="Times New Roman" w:ascii="Times New Roman" w:hAnsi="Times New Roman"/>
          <w:i/>
          <w:sz w:val="24"/>
          <w:szCs w:val="24"/>
        </w:rPr>
        <w:t xml:space="preserve">Assessment of individual work.</w:t>
      </w:r>
    </w:p>
    <w:p>
      <w:pPr>
        <w:pStyle w:val="Normal"/>
        <w:widowControl w:val="false"/>
        <w:numPr>
          <w:ilvl w:val="0"/>
          <w:numId w:val="0"/>
        </w:numPr>
        <w:autoSpaceDE w:val="false"/>
        <w:spacing w:lineRule="auto" w:line="240" w:before="0" w:after="0"/>
        <w:ind w:firstLine="567" w:end="0"/>
        <w:jc w:val="both"/>
        <w:outlineLvl w:val="1"/>
        <w:rPr/>
      </w:pPr>
      <w:r>
        <w:rPr>
          <w:rFonts w:eastAsia="Times New Roman" w:cs="Times New Roman" w:ascii="Times New Roman" w:hAnsi="Times New Roman"/>
          <w:sz w:val="24"/>
          <w:szCs w:val="24"/>
        </w:rPr>
        <w:t xml:space="preserve">Points for individual work are awarded only for successful completion and defense of individual assignments. To unify the assessment of different types of assignments, a percentage scale of the points allocated in the curriculum of the discipline is used. The number of points for individual assignments may not exceed 12 points for the discipline, and the maximum total is 200 points:</w:t>
      </w:r>
    </w:p>
    <w:p>
      <w:pPr>
        <w:pStyle w:val="Normal"/>
        <w:numPr>
          <w:ilvl w:val="0"/>
          <w:numId w:val="6"/>
        </w:numPr>
        <w:shd w:fill="FFFFFF" w:val="clear"/>
        <w:spacing w:lineRule="auto" w:line="240" w:before="0" w:after="0"/>
        <w:ind w:firstLine="142" w:start="709" w:end="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rPr>
        <w:t xml:space="preserve">12 points – for prizes at inter-university olympiads in the discipline and at inter-university and international (foreign) scientific conferences, provided there is a published paper;</w:t>
      </w:r>
    </w:p>
    <w:p>
      <w:pPr>
        <w:pStyle w:val="Normal"/>
        <w:numPr>
          <w:ilvl w:val="0"/>
          <w:numId w:val="6"/>
        </w:numPr>
        <w:shd w:fill="FFFFFF" w:val="clear"/>
        <w:spacing w:lineRule="auto" w:line="240" w:before="0" w:after="0"/>
        <w:ind w:firstLine="142" w:start="709" w:end="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rPr>
        <w:t xml:space="preserve">11–10 points – for prizes at intra-university olympiads and scientific conferences, provided there is a published paper;</w:t>
      </w:r>
    </w:p>
    <w:p>
      <w:pPr>
        <w:pStyle w:val="Normal"/>
        <w:numPr>
          <w:ilvl w:val="0"/>
          <w:numId w:val="6"/>
        </w:numPr>
        <w:shd w:fill="FFFFFF" w:val="clear"/>
        <w:spacing w:lineRule="auto" w:line="240" w:before="0" w:after="0"/>
        <w:ind w:firstLine="142" w:start="709" w:end="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rPr>
        <w:t xml:space="preserve">10 points – for participation (without a prize) in inter-university olympiads in the discipline and in inter-university and international (foreign) scientific conferences, provided there is a published paper;</w:t>
      </w:r>
    </w:p>
    <w:p>
      <w:pPr>
        <w:pStyle w:val="Normal"/>
        <w:numPr>
          <w:ilvl w:val="0"/>
          <w:numId w:val="6"/>
        </w:numPr>
        <w:shd w:fill="FFFFFF" w:val="clear"/>
        <w:spacing w:lineRule="auto" w:line="240" w:before="0" w:after="0"/>
        <w:ind w:firstLine="142" w:start="709" w:end="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rPr>
        <w:t xml:space="preserve">8 points – for participation (without a prize) in intra-university olympiads and scientific conferences of the institution, provided there is a published paper;</w:t>
      </w:r>
    </w:p>
    <w:p>
      <w:pPr>
        <w:pStyle w:val="Normal"/>
        <w:numPr>
          <w:ilvl w:val="0"/>
          <w:numId w:val="6"/>
        </w:numPr>
        <w:shd w:fill="FFFFFF" w:val="clear"/>
        <w:spacing w:lineRule="auto" w:line="240" w:before="0" w:after="0"/>
        <w:ind w:firstLine="142" w:start="709" w:end="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rPr>
        <w:t xml:space="preserve">6 points – for preparing specimens, diagrams, tables, multimedia materials and videos at the departments, taking into account the importance of the work done.</w:t>
      </w:r>
    </w:p>
    <w:p>
      <w:pPr>
        <w:pStyle w:val="Normal"/>
        <w:spacing w:lineRule="auto" w:line="240" w:before="0" w:after="0"/>
        <w:ind w:firstLine="567" w:end="0"/>
        <w:jc w:val="both"/>
        <w:rPr/>
      </w:pPr>
      <w:r>
        <w:rPr>
          <w:rFonts w:eastAsia="Times New Roman" w:cs="Times New Roman" w:ascii="Times New Roman" w:hAnsi="Times New Roman"/>
          <w:b/>
          <w:bCs/>
          <w:sz w:val="24"/>
          <w:szCs w:val="24"/>
        </w:rPr>
        <w:t xml:space="preserve">The maximum number of points</w:t>
      </w:r>
      <w:r>
        <w:rPr>
          <w:rFonts w:eastAsia="Times New Roman" w:cs="Times New Roman" w:ascii="Times New Roman" w:hAnsi="Times New Roman"/>
          <w:bCs/>
          <w:sz w:val="24"/>
          <w:szCs w:val="24"/>
        </w:rPr>
        <w:t xml:space="preserve"> that a student can receive after completing the discipline is 200 points. The minimum number of points is 122.</w:t>
      </w:r>
    </w:p>
    <w:p>
      <w:pPr>
        <w:pStyle w:val="Normal"/>
        <w:widowControl w:val="false"/>
        <w:numPr>
          <w:ilvl w:val="0"/>
          <w:numId w:val="0"/>
        </w:numPr>
        <w:tabs>
          <w:tab w:val="clear" w:pos="708"/>
          <w:tab w:val="left" w:pos="567" w:leader="none"/>
          <w:tab w:val="left" w:pos="709" w:leader="none"/>
          <w:tab w:val="left" w:pos="851" w:leader="none"/>
          <w:tab w:val="left" w:pos="993" w:leader="none"/>
        </w:tabs>
        <w:autoSpaceDE w:val="false"/>
        <w:spacing w:lineRule="auto" w:line="240" w:before="1" w:after="0"/>
        <w:ind w:start="284" w:end="0"/>
        <w:outlineLvl w:val="0"/>
        <w:rPr>
          <w:rFonts w:ascii="Times New Roman" w:hAnsi="Times New Roman" w:eastAsia="Times New Roman" w:cs="Times New Roman"/>
          <w:b/>
          <w:bCs/>
          <w:color w:val="0000FF"/>
          <w:sz w:val="24"/>
          <w:szCs w:val="24"/>
          <w:lang w:eastAsia="ru-RU"/>
        </w:rPr>
      </w:pPr>
      <w:r>
        <w:rPr>
          <w:rFonts w:eastAsia="Times New Roman" w:cs="Times New Roman" w:ascii="Times New Roman" w:hAnsi="Times New Roman"/>
          <w:b/>
          <w:bCs/>
          <w:color w:val="0000FF"/>
          <w:sz w:val="24"/>
          <w:szCs w:val="24"/>
          <w:lang w:eastAsia="ru-RU"/>
        </w:rPr>
      </w:r>
    </w:p>
    <w:p>
      <w:pPr>
        <w:pStyle w:val="Normal"/>
        <w:widowControl w:val="false"/>
        <w:numPr>
          <w:ilvl w:val="0"/>
          <w:numId w:val="5"/>
        </w:numPr>
        <w:tabs>
          <w:tab w:val="clear" w:pos="708"/>
          <w:tab w:val="left" w:pos="567" w:leader="none"/>
          <w:tab w:val="left" w:pos="709" w:leader="none"/>
          <w:tab w:val="left" w:pos="851" w:leader="none"/>
          <w:tab w:val="left" w:pos="993" w:leader="none"/>
        </w:tabs>
        <w:autoSpaceDE w:val="false"/>
        <w:spacing w:lineRule="auto" w:line="240" w:before="1" w:after="0"/>
        <w:ind w:hanging="77" w:start="644" w:end="0"/>
        <w:jc w:val="both"/>
        <w:outlineLvl w:val="0"/>
        <w:rPr>
          <w:rFonts w:ascii="Times New Roman" w:hAnsi="Times New Roman" w:eastAsia="Times New Roman" w:cs="Times New Roman"/>
          <w:b/>
          <w:bCs/>
          <w:sz w:val="24"/>
          <w:szCs w:val="24"/>
        </w:rPr>
      </w:pPr>
      <w:r>
        <w:rPr>
          <w:rFonts w:eastAsia="Times New Roman" w:cs="Times New Roman" w:ascii="Times New Roman" w:hAnsi="Times New Roman"/>
          <w:b/>
          <w:bCs/>
          <w:color w:val="0000FF"/>
          <w:sz w:val="24"/>
          <w:szCs w:val="24"/>
        </w:rPr>
        <w:t xml:space="preserve">METHODOLOGICAL SUPPORT</w:t>
      </w:r>
    </w:p>
    <w:p>
      <w:pPr>
        <w:pStyle w:val="Normal"/>
        <w:widowControl w:val="false"/>
        <w:autoSpaceDE w:val="false"/>
        <w:spacing w:lineRule="auto" w:line="240" w:before="0" w:after="0"/>
        <w:ind w:firstLine="567" w:end="143"/>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Methodological support of the discipline includes: lecture presentations; methodological recommendations for students’ self-study when preparing for practical classes; methodological guidelines for independent extracurricular work; methodological guidelines for teachers; tests for monitoring mastery of the topics of practical classes; situational practice-oriented problems; a list of questions for the final assessment; textbooks, teaching manuals, workbooks, etc.</w:t>
      </w:r>
    </w:p>
    <w:p>
      <w:pPr>
        <w:pStyle w:val="Normal"/>
        <w:widowControl w:val="false"/>
        <w:autoSpaceDE w:val="false"/>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numPr>
          <w:ilvl w:val="0"/>
          <w:numId w:val="5"/>
        </w:numPr>
        <w:tabs>
          <w:tab w:val="clear" w:pos="708"/>
          <w:tab w:val="left" w:pos="855" w:leader="none"/>
          <w:tab w:val="left" w:pos="993" w:leader="none"/>
        </w:tabs>
        <w:autoSpaceDE w:val="false"/>
        <w:spacing w:lineRule="auto" w:line="240" w:before="0" w:after="0"/>
        <w:ind w:hanging="77" w:start="644" w:end="0"/>
        <w:jc w:val="both"/>
        <w:outlineLvl w:val="0"/>
        <w:rPr>
          <w:rFonts w:ascii="Times New Roman" w:hAnsi="Times New Roman" w:eastAsia="Times New Roman" w:cs="Times New Roman"/>
          <w:b/>
          <w:bCs/>
          <w:sz w:val="24"/>
          <w:szCs w:val="24"/>
        </w:rPr>
      </w:pPr>
      <w:r>
        <w:rPr>
          <w:rFonts w:eastAsia="Times New Roman" w:cs="Times New Roman" w:ascii="Times New Roman" w:hAnsi="Times New Roman"/>
          <w:b/>
          <w:bCs/>
          <w:color w:val="0000FF"/>
          <w:sz w:val="24"/>
          <w:szCs w:val="24"/>
        </w:rPr>
        <w:t xml:space="preserve">DISCIPLINE POLICIES</w:t>
      </w:r>
    </w:p>
    <w:p>
      <w:pPr>
        <w:pStyle w:val="Normal"/>
        <w:widowControl w:val="false"/>
        <w:autoSpaceDE w:val="false"/>
        <w:spacing w:lineRule="auto" w:line="240" w:before="0" w:after="0"/>
        <w:ind w:firstLine="680" w:end="0"/>
        <w:jc w:val="both"/>
        <w:rPr/>
      </w:pPr>
      <w:r>
        <w:rPr>
          <w:rFonts w:eastAsia="Times New Roman" w:cs="Times New Roman" w:ascii="Times New Roman" w:hAnsi="Times New Roman"/>
          <w:sz w:val="24"/>
          <w:szCs w:val="24"/>
        </w:rPr>
        <w:t xml:space="preserve">Completion of study tasks and work in the discipline must meet the requirements of the “Regulations on the Organization of the Educational Process at Pirogov Vinnytsya National Medical University” (</w:t>
      </w:r>
      <w:hyperlink r:id="rId8">
        <w:r>
          <w:rPr>
            <w:rStyle w:val="Hyperlink"/>
            <w:rFonts w:eastAsia="Times New Roman" w:cs="Times New Roman" w:ascii="Times New Roman" w:hAnsi="Times New Roman"/>
            <w:color w:val="0000FF"/>
            <w:sz w:val="24"/>
            <w:szCs w:val="24"/>
            <w:u w:val="single"/>
            <w:lang w:val="en-US"/>
          </w:rPr>
          <w:t>ht</w:t>
        </w:r>
        <w:r>
          <w:rPr>
            <w:rStyle w:val="Hyperlink"/>
            <w:rFonts w:eastAsia="Times New Roman" w:cs="Times New Roman" w:ascii="Times New Roman" w:hAnsi="Times New Roman"/>
            <w:color w:val="0000FF"/>
            <w:sz w:val="24"/>
            <w:szCs w:val="24"/>
            <w:u w:val="single"/>
          </w:rPr>
          <w:t>tps://www.vnmu.edu.ua/downloads/other/polog_organiz_ocv_proc(2026).pdf</w:t>
        </w:r>
      </w:hyperlink>
      <w:r>
        <w:rPr>
          <w:rFonts w:eastAsia="Times New Roman" w:cs="Times New Roman" w:ascii="Times New Roman" w:hAnsi="Times New Roman"/>
          <w:sz w:val="24"/>
          <w:szCs w:val="24"/>
        </w:rPr>
        <w:t xml:space="preserve">), the “Regulations on the Organization of the Educational Process for Doctor of Philosophy Students at Pirogov Vinnytsya National Medical University” (</w:t>
      </w:r>
      <w:hyperlink r:id="rId9">
        <w:r>
          <w:rPr>
            <w:rStyle w:val="Hyperlink"/>
            <w:rFonts w:eastAsia="Times New Roman" w:cs="Times New Roman" w:ascii="Times New Roman" w:hAnsi="Times New Roman"/>
            <w:color w:val="0000FF"/>
            <w:sz w:val="24"/>
            <w:szCs w:val="24"/>
            <w:u w:val="single" w:color="0000FF"/>
          </w:rPr>
          <w:t>https://www.vnmu.edu.ua/downloads/other/pologPhD_org.pdf</w:t>
        </w:r>
      </w:hyperlink>
      <w:r>
        <w:rPr>
          <w:rFonts w:eastAsia="Times New Roman" w:cs="Times New Roman" w:ascii="Times New Roman" w:hAnsi="Times New Roman"/>
          <w:sz w:val="24"/>
          <w:szCs w:val="24"/>
        </w:rPr>
        <w:t xml:space="preserve">), the Law of Ukraine “On Education” (Art. 42), the Law of Ukraine “On Academic Integrity”, and the Code of Academic Integrity of Pirogov Vinnytsya National Medical University (</w:t>
      </w:r>
      <w:hyperlink r:id="rId10">
        <w:r>
          <w:rPr>
            <w:rStyle w:val="Hyperlink"/>
            <w:rFonts w:eastAsia="Times New Roman" w:cs="Times New Roman" w:ascii="Times New Roman" w:hAnsi="Times New Roman"/>
            <w:color w:val="0000FF"/>
            <w:sz w:val="24"/>
            <w:szCs w:val="24"/>
            <w:u w:val="single"/>
            <w:lang w:eastAsia="uk-UA"/>
          </w:rPr>
          <w:t>https://www.vnmu.edu.ua/downloads/other/kodex_akad_dobr_edit%202026.pdf</w:t>
        </w:r>
      </w:hyperlink>
      <w:r>
        <w:rPr>
          <w:rFonts w:eastAsia="Times New Roman" w:cs="Times New Roman" w:ascii="Times New Roman" w:hAnsi="Times New Roman"/>
          <w:sz w:val="24"/>
          <w:szCs w:val="24"/>
        </w:rPr>
        <w:t xml:space="preserve">).</w:t>
      </w:r>
    </w:p>
    <w:p>
      <w:pPr>
        <w:pStyle w:val="Normal"/>
        <w:widowControl w:val="false"/>
        <w:autoSpaceDE w:val="false"/>
        <w:spacing w:lineRule="auto" w:line="240" w:before="0" w:after="0"/>
        <w:ind w:firstLine="567" w:end="0"/>
        <w:jc w:val="both"/>
        <w:rPr/>
      </w:pPr>
      <w:r>
        <w:rPr>
          <w:rFonts w:cs="Times New Roman" w:ascii="Times New Roman" w:hAnsi="Times New Roman"/>
          <w:sz w:val="24"/>
          <w:szCs w:val="24"/>
        </w:rPr>
        <w:t xml:space="preserve">Students have the right to quality educational services and a safe learning environment under martial law, emergencies and states of emergency; to access to modern scientific and educational information; and to qualified advisory support while studying the discipline and mastering practical skills. The department’s policy in providing educational services is student-centered and is based on the regulatory documents of the Ministry of Education and Science and the Ministry of Health of Ukraine, the University Charter, and the procedure for providing educational services, including in emergencies, regulated by the main documents and orders on the organization of the educational process at Pirogov Vinnytsya National Medical University, and on the principles of academic integrity.</w:t>
      </w:r>
    </w:p>
    <w:p>
      <w:pPr>
        <w:pStyle w:val="Normal"/>
        <w:widowControl w:val="false"/>
        <w:autoSpaceDE w:val="false"/>
        <w:spacing w:lineRule="auto" w:line="240" w:before="0" w:after="0"/>
        <w:ind w:firstLine="567" w:end="0"/>
        <w:jc w:val="both"/>
        <w:rPr/>
      </w:pPr>
      <w:r>
        <w:rPr>
          <w:rFonts w:eastAsia="Times New Roman" w:cs="Times New Roman" w:ascii="Times New Roman" w:hAnsi="Times New Roman"/>
          <w:b/>
          <w:bCs/>
          <w:sz w:val="24"/>
          <w:szCs w:val="24"/>
        </w:rPr>
        <w:t xml:space="preserve">Academic integrity. </w:t>
      </w:r>
      <w:r>
        <w:rPr>
          <w:rFonts w:eastAsia="Times New Roman" w:cs="Times New Roman" w:ascii="Times New Roman" w:hAnsi="Times New Roman"/>
          <w:sz w:val="24"/>
          <w:szCs w:val="24"/>
        </w:rPr>
        <w:t xml:space="preserve">While studying the discipline and performing all types of study tasks/research activities, students must be guided by the Law of Ukraine “On Education” (Art. 42), the Law of Ukraine “On Academic Integrity”, and the Code of Academic Integrity of Pirogov Vinnytsya National Medical University (</w:t>
      </w:r>
      <w:hyperlink r:id="rId11">
        <w:r>
          <w:rPr>
            <w:rStyle w:val="Hyperlink"/>
            <w:rFonts w:eastAsia="Times New Roman" w:cs="Times New Roman" w:ascii="Times New Roman" w:hAnsi="Times New Roman"/>
            <w:color w:val="0000FF"/>
            <w:sz w:val="24"/>
            <w:szCs w:val="24"/>
            <w:u w:val="single"/>
          </w:rPr>
          <w:t>https://www.vnmu.edu.ua/</w:t>
        </w:r>
      </w:hyperlink>
      <w:r>
        <w:rPr>
          <w:rFonts w:eastAsia="Times New Roman" w:cs="Times New Roman" w:ascii="Times New Roman" w:hAnsi="Times New Roman"/>
          <w:sz w:val="24"/>
          <w:szCs w:val="24"/>
        </w:rPr>
        <w:t xml:space="preserve"> General information / Main documents / Code of Academic Integrity of Pirogov Vinnytsya National Medical University). In case of violation of academic integrity, response measures are applied in accordance with the current regulatory documents.</w:t>
      </w:r>
    </w:p>
    <w:p>
      <w:pPr>
        <w:pStyle w:val="Normal"/>
        <w:widowControl w:val="false"/>
        <w:autoSpaceDE w:val="false"/>
        <w:spacing w:lineRule="auto" w:line="240" w:before="0" w:after="0"/>
        <w:ind w:firstLine="567" w:end="0"/>
        <w:jc w:val="both"/>
        <w:rPr/>
      </w:pPr>
      <w:r>
        <w:rPr>
          <w:rFonts w:eastAsia="Times New Roman" w:cs="Times New Roman" w:ascii="Times New Roman" w:hAnsi="Times New Roman"/>
          <w:b/>
          <w:bCs/>
          <w:sz w:val="24"/>
          <w:szCs w:val="24"/>
        </w:rPr>
        <w:t xml:space="preserve">Compliance with the University’s rules of procedure and safety regulations</w:t>
      </w:r>
      <w:r>
        <w:rPr>
          <w:rFonts w:eastAsia="Times New Roman" w:cs="Times New Roman" w:ascii="Times New Roman" w:hAnsi="Times New Roman"/>
          <w:sz w:val="24"/>
          <w:szCs w:val="24"/>
        </w:rPr>
        <w:t xml:space="preserve"> in practical classes. At the first practical class, the teacher gives a briefing on safe conduct in the department premises, shows the location of the shelter and the route to it according to the approved evacuation plan, explains the rules of conduct when moving to and staying in the shelter, and explains all actions provided for by the Emergency Response Plan (Order No. 505 of 30.08.2023). In the event of an “Air raid alert” or other warning signals, the teacher interrupts the class. Everyone goes to the shelter and stays there until the all-clear signal. After the alert is cancelled, the teacher and students continue the class in the department’s classrooms or work through the material independently, with an assessment at the next class.</w:t>
      </w:r>
    </w:p>
    <w:p>
      <w:pPr>
        <w:pStyle w:val="Normal"/>
        <w:widowControl w:val="false"/>
        <w:autoSpaceDE w:val="false"/>
        <w:spacing w:lineRule="auto" w:line="240" w:before="0" w:after="0"/>
        <w:ind w:firstLine="567" w:end="0"/>
        <w:jc w:val="both"/>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t xml:space="preserve">Requirements for preparing for practical classes.</w:t>
      </w:r>
    </w:p>
    <w:p>
      <w:pPr>
        <w:pStyle w:val="Normal"/>
        <w:widowControl w:val="false"/>
        <w:autoSpaceDE w:val="false"/>
        <w:spacing w:lineRule="auto" w:line="240" w:before="0" w:after="0"/>
        <w:ind w:firstLine="567" w:end="0"/>
        <w:jc w:val="both"/>
        <w:rPr/>
      </w:pPr>
      <w:r>
        <w:rPr>
          <w:rFonts w:eastAsia="Times New Roman" w:cs="Times New Roman" w:ascii="Times New Roman" w:hAnsi="Times New Roman"/>
          <w:sz w:val="24"/>
          <w:szCs w:val="24"/>
        </w:rPr>
        <w:t xml:space="preserve">Students are required to take an active part in the educational process: to attend classes and be prepared for them (the test tasks for the current topic must be solved in the workbook, and diagrams and tables completed); to actively discuss the topic of the class; to perform all tasks provided by the program; and to search for additional information on the topic of the class and present it to their peers.</w:t>
      </w:r>
    </w:p>
    <w:p>
      <w:pPr>
        <w:pStyle w:val="Normal"/>
        <w:widowControl w:val="false"/>
        <w:autoSpaceDE w:val="false"/>
        <w:spacing w:lineRule="auto" w:line="240" w:before="0" w:after="0"/>
        <w:ind w:firstLine="567" w:end="0"/>
        <w:jc w:val="both"/>
        <w:rPr>
          <w:rFonts w:ascii="Times New Roman" w:hAnsi="Times New Roman" w:cs="Times New Roman"/>
          <w:strike/>
          <w:sz w:val="24"/>
          <w:szCs w:val="24"/>
        </w:rPr>
      </w:pPr>
      <w:r>
        <w:rPr>
          <w:rFonts w:cs="Times New Roman" w:ascii="Times New Roman" w:hAnsi="Times New Roman"/>
          <w:sz w:val="24"/>
          <w:szCs w:val="24"/>
        </w:rPr>
        <w:t xml:space="preserve">Students should arrive on time. Lateness is not allowed (according to the Internal Rules for Students of VNMU). A student who is more than 10 minutes late is not admitted to the class and must make it up in the established manner. *For specialties in the field of knowledge I “Health Care and Social Security”, students must wear a medical gown in practical classes; otherwise they are not admitted to the class.</w:t>
      </w:r>
    </w:p>
    <w:p>
      <w:pPr>
        <w:pStyle w:val="Normal"/>
        <w:widowControl w:val="false"/>
        <w:autoSpaceDE w:val="false"/>
        <w:spacing w:lineRule="auto" w:line="240" w:before="0" w:after="0"/>
        <w:ind w:firstLine="567" w:end="0"/>
        <w:jc w:val="both"/>
        <w:rPr>
          <w:rFonts w:ascii="Times New Roman" w:hAnsi="Times New Roman" w:cs="Times New Roman"/>
          <w:sz w:val="24"/>
          <w:szCs w:val="24"/>
        </w:rPr>
      </w:pPr>
      <w:r>
        <w:rPr>
          <w:rFonts w:eastAsia="Times New Roman" w:cs="Times New Roman" w:ascii="Times New Roman" w:hAnsi="Times New Roman"/>
          <w:sz w:val="24"/>
          <w:szCs w:val="24"/>
        </w:rPr>
        <w:t xml:space="preserve">In communication with teachers, staff, fellow students and other persons studying at the University, students must be polite, courteous and benevolent. Students must maintain quiet, calm and dignified behavior in the department premises.</w:t>
      </w:r>
    </w:p>
    <w:p>
      <w:pPr>
        <w:pStyle w:val="Normal"/>
        <w:widowControl w:val="false"/>
        <w:autoSpaceDE w:val="false"/>
        <w:spacing w:lineRule="auto" w:line="240" w:before="0" w:after="0"/>
        <w:ind w:firstLine="567" w:end="0"/>
        <w:jc w:val="both"/>
        <w:rPr/>
      </w:pPr>
      <w:r>
        <w:rPr>
          <w:rFonts w:cs="Times New Roman" w:ascii="Times New Roman" w:hAnsi="Times New Roman"/>
          <w:sz w:val="24"/>
          <w:szCs w:val="24"/>
        </w:rPr>
        <w:t xml:space="preserve">The department staff adhere to the principles of mutual respect and tolerance. The same is required of students.</w:t>
      </w:r>
    </w:p>
    <w:p>
      <w:pPr>
        <w:pStyle w:val="Normal"/>
        <w:widowControl w:val="false"/>
        <w:autoSpaceDE w:val="false"/>
        <w:spacing w:lineRule="auto" w:line="240" w:before="0" w:after="0"/>
        <w:ind w:firstLine="567" w:end="0"/>
        <w:jc w:val="both"/>
        <w:rPr>
          <w:rFonts w:ascii="Times New Roman" w:hAnsi="Times New Roman" w:cs="Times New Roman"/>
          <w:sz w:val="24"/>
          <w:szCs w:val="24"/>
        </w:rPr>
      </w:pPr>
      <w:r>
        <w:rPr>
          <w:rFonts w:cs="Times New Roman" w:ascii="Times New Roman" w:hAnsi="Times New Roman"/>
          <w:sz w:val="24"/>
          <w:szCs w:val="24"/>
        </w:rPr>
        <w:t xml:space="preserve">Students must observe safety rules while in the department premises.</w:t>
      </w:r>
    </w:p>
    <w:p>
      <w:pPr>
        <w:pStyle w:val="Normal"/>
        <w:widowControl w:val="false"/>
        <w:autoSpaceDE w:val="false"/>
        <w:spacing w:lineRule="auto" w:line="240" w:before="0" w:after="0"/>
        <w:ind w:firstLine="567" w:end="0"/>
        <w:jc w:val="both"/>
        <w:rPr/>
      </w:pPr>
      <w:r>
        <w:rPr>
          <w:rFonts w:eastAsia="Times New Roman" w:cs="Times New Roman" w:ascii="Times New Roman" w:hAnsi="Times New Roman"/>
          <w:sz w:val="24"/>
          <w:szCs w:val="24"/>
        </w:rPr>
        <w:t xml:space="preserve">While working in teaching and research laboratories, students follow safety rules (published on the website of the Department of Pharmacy); when performing practical tasks, the workplace must be kept tidy and cleaned after the practical work is completed.</w:t>
      </w:r>
    </w:p>
    <w:p>
      <w:pPr>
        <w:pStyle w:val="Normal"/>
        <w:widowControl w:val="false"/>
        <w:autoSpaceDE w:val="false"/>
        <w:spacing w:lineRule="auto" w:line="240" w:before="0" w:after="0"/>
        <w:ind w:firstLine="567" w:end="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3"/>
          <w:szCs w:val="23"/>
        </w:rPr>
        <w:t xml:space="preserve">While at clinical sites, students must comply with the requirements of the treatment-and-protective and sanitary-hygienic regimes. If quarantine restrictions are introduced at a healthcare facility, strict compliance with them is mandatory. Dress code when entering inpatient departments: change of shoes, medical gown and cap. Students should have a medical mask, gloves and an antiseptic. Bringing outerwear, shoes or bulky items is not allowed. Touching apparatus, equipment and instruments without the teacher’s permission is prohibited. During conversations with patients and their relatives, and outside the hospital, students must observe ethical and deontological principles and the requirements of current legislation on the confidentiality of information. Disclosing patients’ medical and personal information in any way (including on social networks, in oral accounts, etc.) is strictly prohibited. In contacts with staff and in discussions during study, the principles of tolerance, courtesy and mutual respect are followed; defiant, incorrect or provocative behavior is not allowed.</w:t>
      </w:r>
    </w:p>
    <w:p>
      <w:pPr>
        <w:pStyle w:val="Normal"/>
        <w:widowControl w:val="false"/>
        <w:autoSpaceDE w:val="false"/>
        <w:spacing w:lineRule="auto" w:line="240" w:before="0" w:after="0"/>
        <w:ind w:firstLine="567" w:end="0"/>
        <w:jc w:val="both"/>
        <w:rPr>
          <w:rFonts w:ascii="Times New Roman" w:hAnsi="Times New Roman" w:cs="Times New Roman"/>
          <w:sz w:val="24"/>
          <w:szCs w:val="24"/>
        </w:rPr>
      </w:pPr>
      <w:r>
        <w:rPr>
          <w:rFonts w:eastAsia="Times New Roman" w:cs="Times New Roman" w:ascii="Times New Roman" w:hAnsi="Times New Roman"/>
          <w:b/>
          <w:bCs/>
          <w:sz w:val="24"/>
          <w:szCs w:val="24"/>
        </w:rPr>
        <w:t xml:space="preserve">Use of mobile phones and other electronic devices.</w:t>
      </w:r>
      <w:r>
        <w:rPr>
          <w:rFonts w:eastAsia="Times New Roman" w:cs="Times New Roman" w:ascii="Times New Roman" w:hAnsi="Times New Roman"/>
          <w:sz w:val="24"/>
          <w:szCs w:val="24"/>
        </w:rPr>
        <w:t xml:space="preserve"> The use of mobile phones and other electronic devices in class is not allowed (except for emergency calls and cases of demonstrating additional material on the topic of the class).</w:t>
      </w:r>
    </w:p>
    <w:p>
      <w:pPr>
        <w:pStyle w:val="Normal"/>
        <w:widowControl w:val="false"/>
        <w:autoSpaceDE w:val="false"/>
        <w:spacing w:lineRule="auto" w:line="240" w:before="0" w:after="0"/>
        <w:ind w:firstLine="567" w:end="0"/>
        <w:jc w:val="both"/>
        <w:rPr/>
      </w:pPr>
      <w:r>
        <w:rPr>
          <w:rFonts w:eastAsia="Times New Roman" w:cs="Times New Roman" w:ascii="Times New Roman" w:hAnsi="Times New Roman"/>
          <w:b/>
          <w:bCs/>
          <w:sz w:val="24"/>
          <w:szCs w:val="24"/>
        </w:rPr>
        <w:t xml:space="preserve">Missed classes. </w:t>
      </w:r>
      <w:r>
        <w:rPr>
          <w:rFonts w:eastAsia="Times New Roman" w:cs="Times New Roman" w:ascii="Times New Roman" w:hAnsi="Times New Roman"/>
          <w:sz w:val="24"/>
          <w:szCs w:val="24"/>
        </w:rPr>
        <w:t xml:space="preserve">Missed classes are made up in the manner established by the current Regulations on the Organization of the Educational Process at Pirogov Vinnytsya National Medical University (see </w:t>
      </w:r>
      <w:hyperlink r:id="rId12">
        <w:r>
          <w:rPr>
            <w:rStyle w:val="Hyperlink"/>
            <w:rFonts w:eastAsia="Times New Roman" w:cs="Times New Roman" w:ascii="Times New Roman" w:hAnsi="Times New Roman"/>
            <w:color w:val="0000FF"/>
            <w:sz w:val="24"/>
            <w:szCs w:val="24"/>
            <w:u w:val="single"/>
            <w:lang w:val="en-US"/>
          </w:rPr>
          <w:t>ht</w:t>
        </w:r>
        <w:r>
          <w:rPr>
            <w:rStyle w:val="Hyperlink"/>
            <w:rFonts w:eastAsia="Times New Roman" w:cs="Times New Roman" w:ascii="Times New Roman" w:hAnsi="Times New Roman"/>
            <w:color w:val="0000FF"/>
            <w:sz w:val="24"/>
            <w:szCs w:val="24"/>
            <w:u w:val="single"/>
          </w:rPr>
          <w:t>tps://www.vnmu.edu.ua/downloads/other/polog_organiz_ocv_proc(2026).pdf</w:t>
        </w:r>
      </w:hyperlink>
      <w:r>
        <w:rPr>
          <w:rFonts w:eastAsia="Times New Roman" w:cs="Times New Roman" w:ascii="Times New Roman" w:hAnsi="Times New Roman"/>
          <w:sz w:val="24"/>
          <w:szCs w:val="24"/>
        </w:rPr>
        <w:t xml:space="preserve">) at the time specified in the make-up schedule (published on the department website </w:t>
      </w:r>
      <w:hyperlink r:id="rId13">
        <w:r>
          <w:rPr>
            <w:rStyle w:val="Hyperlink"/>
            <w:rFonts w:eastAsia="Times New Roman" w:cs="Times New Roman" w:ascii="Times New Roman" w:hAnsi="Times New Roman"/>
            <w:color w:val="0000FF"/>
            <w:sz w:val="24"/>
            <w:szCs w:val="24"/>
            <w:u w:val="single"/>
          </w:rPr>
          <w:t>https://www.vnmu.edu.ua/</w:t>
        </w:r>
      </w:hyperlink>
      <w:r>
        <w:rPr>
          <w:rFonts w:eastAsia="Times New Roman" w:cs="Times New Roman" w:ascii="Times New Roman" w:hAnsi="Times New Roman"/>
          <w:sz w:val="24"/>
          <w:szCs w:val="24"/>
        </w:rPr>
        <w:t xml:space="preserve"> Department of Pharmacy) to the duty teacher or one’s own teacher. Make-up work involves completing tasks on the topic of the missed class, taking into account the specifics of the discipline.</w:t>
      </w:r>
    </w:p>
    <w:p>
      <w:pPr>
        <w:pStyle w:val="Normal"/>
        <w:widowControl w:val="false"/>
        <w:autoSpaceDE w:val="false"/>
        <w:spacing w:lineRule="auto" w:line="240" w:before="0" w:after="0"/>
        <w:ind w:firstLine="567" w:end="0"/>
        <w:jc w:val="both"/>
        <w:rPr>
          <w:rFonts w:ascii="Times New Roman" w:hAnsi="Times New Roman" w:eastAsia="Times New Roman" w:cs="Times New Roman"/>
          <w:color w:val="00B0F0"/>
          <w:sz w:val="24"/>
          <w:szCs w:val="24"/>
        </w:rPr>
      </w:pPr>
      <w:r>
        <w:rPr>
          <w:rFonts w:eastAsia="Times New Roman" w:cs="Times New Roman" w:ascii="Times New Roman" w:hAnsi="Times New Roman"/>
          <w:color w:val="000000"/>
          <w:sz w:val="24"/>
          <w:szCs w:val="24"/>
        </w:rPr>
        <w:t xml:space="preserve">Mastery of the lecture topics is checked during practical and seminar classes (practical skills) and at the final assessment (</w:t>
      </w:r>
      <w:hyperlink r:id="rId14">
        <w:r>
          <w:rPr>
            <w:rStyle w:val="Hyperlink"/>
            <w:rFonts w:eastAsia="Times New Roman" w:cs="Times New Roman" w:ascii="Times New Roman" w:hAnsi="Times New Roman"/>
            <w:color w:val="0000FF"/>
            <w:szCs w:val="24"/>
            <w:u w:val="single"/>
            <w:lang w:val="en-US"/>
          </w:rPr>
          <w:t>ht</w:t>
        </w:r>
        <w:r>
          <w:rPr>
            <w:rStyle w:val="Hyperlink"/>
            <w:rFonts w:eastAsia="Times New Roman" w:cs="Times New Roman" w:ascii="Times New Roman" w:hAnsi="Times New Roman"/>
            <w:color w:val="0000FF"/>
            <w:szCs w:val="24"/>
            <w:u w:val="single"/>
          </w:rPr>
          <w:t>tps://www.vnmu.edu.ua/downloads/other/polog_organiz_ocv_proc(2026).pdf</w:t>
        </w:r>
      </w:hyperlink>
      <w:r>
        <w:rPr>
          <w:rFonts w:eastAsia="Times New Roman" w:cs="Times New Roman" w:ascii="Times New Roman" w:hAnsi="Times New Roman"/>
          <w:color w:val="000000"/>
          <w:sz w:val="24"/>
          <w:szCs w:val="24"/>
        </w:rPr>
        <w:t xml:space="preserve">).</w:t>
      </w:r>
    </w:p>
    <w:p>
      <w:pPr>
        <w:pStyle w:val="Normal"/>
        <w:widowControl w:val="false"/>
        <w:autoSpaceDE w:val="false"/>
        <w:spacing w:lineRule="auto" w:line="240" w:before="0" w:after="0"/>
        <w:ind w:firstLine="567" w:end="0"/>
        <w:jc w:val="both"/>
        <w:rPr/>
      </w:pPr>
      <w:r>
        <w:rPr>
          <w:rFonts w:eastAsia="Times New Roman" w:cs="Times New Roman" w:ascii="Times New Roman" w:hAnsi="Times New Roman"/>
          <w:b/>
          <w:bCs/>
          <w:sz w:val="24"/>
          <w:szCs w:val="24"/>
        </w:rPr>
        <w:t xml:space="preserve">Procedure for admission to the final assessment</w:t>
      </w:r>
      <w:r>
        <w:rPr>
          <w:rFonts w:eastAsia="Times New Roman" w:cs="Times New Roman" w:ascii="Times New Roman" w:hAnsi="Times New Roman"/>
          <w:sz w:val="24"/>
          <w:szCs w:val="24"/>
        </w:rPr>
        <w:t xml:space="preserve"> in the discipline is set out in the current Regulations on the Organization of the Educational Process at Pirogov Vinnytsya National Medical University (see </w:t>
      </w:r>
      <w:hyperlink r:id="rId15">
        <w:r>
          <w:rPr>
            <w:rStyle w:val="Hyperlink"/>
            <w:rFonts w:eastAsia="Times New Roman" w:cs="Times New Roman" w:ascii="Times New Roman" w:hAnsi="Times New Roman"/>
            <w:color w:val="0000FF"/>
            <w:sz w:val="24"/>
            <w:szCs w:val="24"/>
            <w:u w:val="single"/>
            <w:lang w:val="en-US"/>
          </w:rPr>
          <w:t>ht</w:t>
        </w:r>
        <w:r>
          <w:rPr>
            <w:rStyle w:val="Hyperlink"/>
            <w:rFonts w:eastAsia="Times New Roman" w:cs="Times New Roman" w:ascii="Times New Roman" w:hAnsi="Times New Roman"/>
            <w:color w:val="0000FF"/>
            <w:sz w:val="24"/>
            <w:szCs w:val="24"/>
            <w:u w:val="single"/>
          </w:rPr>
          <w:t>tps://www.vnmu.edu.ua/downloads/other/polog_organiz_ocv_proc(2026).pdf</w:t>
        </w:r>
      </w:hyperlink>
      <w:r>
        <w:rPr>
          <w:rFonts w:eastAsia="Times New Roman" w:cs="Times New Roman" w:ascii="Times New Roman" w:hAnsi="Times New Roman"/>
          <w:sz w:val="24"/>
          <w:szCs w:val="24"/>
        </w:rPr>
        <w:t xml:space="preserve">). Students are admitted to the final assessment provided there is no academic debt: the average score of current grades is at least 3.0 (72 points on the 120-point scale), all final classes for the content modules have been passed with a positive grade (“3” or higher), and all missed practical classes have been made up with a positive grade (“3” or higher). Otherwise, the student must raise the average score by retaking unsatisfactory grades and make up the missed classes.</w:t>
      </w:r>
    </w:p>
    <w:p>
      <w:pPr>
        <w:pStyle w:val="Normal"/>
        <w:widowControl w:val="false"/>
        <w:autoSpaceDE w:val="false"/>
        <w:spacing w:lineRule="auto" w:line="240" w:before="0" w:after="0"/>
        <w:ind w:firstLine="567" w:end="0"/>
        <w:jc w:val="both"/>
        <w:rPr/>
      </w:pPr>
      <w:r>
        <w:rPr>
          <w:rFonts w:eastAsia="Times New Roman" w:cs="Times New Roman" w:ascii="Times New Roman" w:hAnsi="Times New Roman"/>
          <w:b/>
          <w:bCs/>
          <w:sz w:val="24"/>
          <w:szCs w:val="24"/>
        </w:rPr>
        <w:t xml:space="preserve">Additional individual points. </w:t>
      </w:r>
      <w:r>
        <w:rPr>
          <w:rFonts w:eastAsia="Times New Roman" w:cs="Times New Roman" w:ascii="Times New Roman" w:hAnsi="Times New Roman"/>
          <w:sz w:val="24"/>
          <w:szCs w:val="24"/>
        </w:rPr>
        <w:t xml:space="preserve">Individual points in the discipline may be earned for high-quality completion of individual work, the content of which is published on the department website in the teaching and methodological materials of the discipline; the number of points is determined by the results of the individual work in accordance with the current Regulations on the Organization of the Educational Process at Pirogov Vinnytsya National Medical University (</w:t>
      </w:r>
      <w:hyperlink r:id="rId16">
        <w:r>
          <w:rPr>
            <w:rStyle w:val="Hyperlink"/>
            <w:rFonts w:eastAsia="Times New Roman" w:cs="Times New Roman" w:ascii="Times New Roman" w:hAnsi="Times New Roman"/>
            <w:color w:val="0000FF"/>
            <w:szCs w:val="24"/>
            <w:u w:val="single"/>
            <w:lang w:val="en-US"/>
          </w:rPr>
          <w:t>ht</w:t>
        </w:r>
        <w:r>
          <w:rPr>
            <w:rStyle w:val="Hyperlink"/>
            <w:rFonts w:eastAsia="Times New Roman" w:cs="Times New Roman" w:ascii="Times New Roman" w:hAnsi="Times New Roman"/>
            <w:color w:val="0000FF"/>
            <w:szCs w:val="24"/>
            <w:u w:val="single"/>
          </w:rPr>
          <w:t>tps://www.vnmu.edu.ua/downloads/other/polog_organiz_ocv_proc(2026).pdf</w:t>
        </w:r>
      </w:hyperlink>
      <w:r>
        <w:rPr>
          <w:rFonts w:eastAsia="Times New Roman" w:cs="Times New Roman" w:ascii="Times New Roman" w:hAnsi="Times New Roman"/>
          <w:sz w:val="24"/>
          <w:szCs w:val="24"/>
        </w:rPr>
        <w:t xml:space="preserve">).</w:t>
      </w:r>
    </w:p>
    <w:p>
      <w:pPr>
        <w:pStyle w:val="Normal"/>
        <w:widowControl w:val="false"/>
        <w:autoSpaceDE w:val="false"/>
        <w:spacing w:lineRule="auto" w:line="240" w:before="0" w:after="0"/>
        <w:ind w:firstLine="567" w:end="0"/>
        <w:jc w:val="both"/>
        <w:rPr>
          <w:rFonts w:ascii="Times New Roman" w:hAnsi="Times New Roman" w:eastAsia="Times New Roman" w:cs="Times New Roman"/>
          <w:sz w:val="24"/>
          <w:szCs w:val="24"/>
        </w:rPr>
      </w:pPr>
      <w:r>
        <w:rPr>
          <w:rFonts w:eastAsia="Times New Roman" w:cs="Times New Roman" w:ascii="Times New Roman" w:hAnsi="Times New Roman"/>
          <w:b/>
          <w:bCs/>
          <w:sz w:val="24"/>
          <w:szCs w:val="24"/>
        </w:rPr>
        <w:t xml:space="preserve">Conflict resolution. </w:t>
      </w:r>
      <w:r>
        <w:rPr>
          <w:rFonts w:cs="Times New Roman" w:ascii="Times New Roman" w:hAnsi="Times New Roman"/>
          <w:sz w:val="24"/>
          <w:szCs w:val="24"/>
        </w:rPr>
        <w:t xml:space="preserve">If misunderstandings or complaints regarding the teacher arise because of the quality of educational services, the assessment of knowledge or other conflict situations, the student must first inform the teacher of his or her complaints. If the issue is not resolved, the student has the right to submit an appeal to the head of the department in accordance with the Regulations on the Consideration of Appeals of Higher Education Students at Pirogov Vinnytsya National Medical University (</w:t>
      </w:r>
      <w:hyperlink r:id="rId17">
        <w:r>
          <w:rPr>
            <w:rStyle w:val="Hyperlink"/>
            <w:rFonts w:eastAsia="Times New Roman" w:cs="Times New Roman" w:ascii="Times New Roman" w:hAnsi="Times New Roman"/>
            <w:color w:val="0000FF"/>
            <w:sz w:val="24"/>
            <w:szCs w:val="24"/>
            <w:u w:val="single"/>
          </w:rPr>
          <w:t>https://www.vnmu.edu.ua/General</w:t>
        </w:r>
      </w:hyperlink>
      <w:r>
        <w:rPr>
          <w:rFonts w:cs="Times New Roman" w:ascii="Times New Roman" w:hAnsi="Times New Roman"/>
          <w:sz w:val="24"/>
          <w:szCs w:val="24"/>
        </w:rPr>
        <w:t xml:space="preserve"> General information/Main documents). The student also has the right to apply to student self-government or to the administration of the faculty (institute) or the University, directly or through trust boxes (links and addresses are available on the official website of the University). The department proceeds from the understanding that student-centeredness implies the student’s responsibility for conscious and active acquisition of knowledge and proper compliance with the norms and rules established by legislation and regulatory documents of the University, and reserves the right to inform the relevant bodies about violations by students.</w:t>
      </w:r>
    </w:p>
    <w:p>
      <w:pPr>
        <w:pStyle w:val="Normal"/>
        <w:widowControl w:val="false"/>
        <w:autoSpaceDE w:val="false"/>
        <w:spacing w:lineRule="auto" w:line="240" w:before="0" w:after="0"/>
        <w:ind w:firstLine="567" w:end="0"/>
        <w:jc w:val="both"/>
        <w:rPr/>
      </w:pPr>
      <w:r>
        <w:rPr>
          <w:rFonts w:eastAsia="Times New Roman" w:cs="Times New Roman" w:ascii="Times New Roman" w:hAnsi="Times New Roman"/>
          <w:b/>
          <w:bCs/>
          <w:sz w:val="24"/>
          <w:szCs w:val="24"/>
        </w:rPr>
        <w:t xml:space="preserve">Blended learning policy. </w:t>
      </w:r>
      <w:r>
        <w:rPr>
          <w:rFonts w:eastAsia="Times New Roman" w:cs="Times New Roman" w:ascii="Times New Roman" w:hAnsi="Times New Roman"/>
          <w:sz w:val="24"/>
          <w:szCs w:val="24"/>
        </w:rPr>
        <w:t xml:space="preserve">The procedure for blended learning is regulated by the Regulations on the Introduction of Distance Learning Elements at Pirogov Vinnytsya National Medical University (</w:t>
      </w:r>
      <w:hyperlink r:id="rId18">
        <w:r>
          <w:rPr>
            <w:rStyle w:val="Hyperlink"/>
            <w:rFonts w:eastAsia="Times New Roman" w:cs="Times New Roman" w:ascii="Times New Roman" w:hAnsi="Times New Roman"/>
            <w:color w:val="0000FF"/>
            <w:sz w:val="24"/>
            <w:szCs w:val="24"/>
            <w:u w:val="single"/>
          </w:rPr>
          <w:t>https://www.vnmu.edu.ua/ General</w:t>
        </w:r>
      </w:hyperlink>
      <w:r>
        <w:rPr>
          <w:rFonts w:eastAsia="Times New Roman" w:cs="Times New Roman" w:ascii="Times New Roman" w:hAnsi="Times New Roman"/>
          <w:sz w:val="24"/>
          <w:szCs w:val="24"/>
        </w:rPr>
        <w:t xml:space="preserve"> information/Main documents). The main platforms for conducting classes are Microsoft Teams and Google Meet. The procedure for conducting practical classes, lectures, make-up sessions and consultations during distance learning is published on the department web page (</w:t>
      </w:r>
      <w:hyperlink r:id="rId19">
        <w:r>
          <w:rPr>
            <w:rStyle w:val="Hyperlink"/>
            <w:rFonts w:eastAsia="Times New Roman" w:cs="Times New Roman" w:ascii="Times New Roman" w:hAnsi="Times New Roman"/>
            <w:color w:val="0000FF"/>
            <w:sz w:val="24"/>
            <w:szCs w:val="24"/>
            <w:u w:val="single"/>
          </w:rPr>
          <w:t xml:space="preserve">https://www.vnmu.edu.ua/ </w:t>
        </w:r>
      </w:hyperlink>
      <w:r>
        <w:rPr>
          <w:rFonts w:eastAsia="Times New Roman" w:cs="Times New Roman" w:ascii="Times New Roman" w:hAnsi="Times New Roman"/>
          <w:sz w:val="24"/>
          <w:szCs w:val="24"/>
        </w:rPr>
        <w:t xml:space="preserve"> Department of Pharmacy / Student/Postgraduate student / form of study / course / teaching and methodological materials).</w:t>
      </w:r>
    </w:p>
    <w:p>
      <w:pPr>
        <w:pStyle w:val="Normal"/>
        <w:widowControl w:val="false"/>
        <w:autoSpaceDE w:val="false"/>
        <w:spacing w:lineRule="auto" w:line="240" w:before="0" w:after="0"/>
        <w:ind w:firstLine="567" w:end="0"/>
        <w:jc w:val="both"/>
        <w:rPr/>
      </w:pPr>
      <w:r>
        <w:rPr>
          <w:rFonts w:eastAsia="Times New Roman" w:cs="Times New Roman" w:ascii="Times New Roman" w:hAnsi="Times New Roman"/>
          <w:b/>
          <w:bCs/>
          <w:sz w:val="24"/>
          <w:szCs w:val="24"/>
        </w:rPr>
        <w:t xml:space="preserve">Feedback </w:t>
      </w:r>
      <w:r>
        <w:rPr>
          <w:rFonts w:eastAsia="Times New Roman" w:cs="Times New Roman" w:ascii="Times New Roman" w:hAnsi="Times New Roman"/>
          <w:sz w:val="24"/>
          <w:szCs w:val="24"/>
        </w:rPr>
        <w:t xml:space="preserve">from the teacher is provided via chat in Microsoft Teams, messengers (Viber, Telegram, WhatsApp) or e-mail (at the teacher’s choice) during working hours.</w:t>
      </w:r>
    </w:p>
    <w:p>
      <w:pPr>
        <w:pStyle w:val="Normal"/>
        <w:widowControl w:val="false"/>
        <w:autoSpaceDE w:val="false"/>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numPr>
          <w:ilvl w:val="0"/>
          <w:numId w:val="5"/>
        </w:numPr>
        <w:tabs>
          <w:tab w:val="clear" w:pos="708"/>
          <w:tab w:val="left" w:pos="567" w:leader="none"/>
          <w:tab w:val="left" w:pos="849" w:leader="none"/>
          <w:tab w:val="left" w:pos="993" w:leader="none"/>
        </w:tabs>
        <w:autoSpaceDE w:val="false"/>
        <w:spacing w:lineRule="auto" w:line="240" w:before="0" w:after="0"/>
        <w:ind w:hanging="282" w:start="849" w:end="0"/>
        <w:jc w:val="both"/>
        <w:outlineLvl w:val="0"/>
        <w:rPr>
          <w:rFonts w:ascii="Times New Roman" w:hAnsi="Times New Roman" w:eastAsia="Times New Roman" w:cs="Times New Roman"/>
          <w:b/>
          <w:bCs/>
          <w:sz w:val="24"/>
          <w:szCs w:val="24"/>
        </w:rPr>
      </w:pPr>
      <w:r>
        <w:rPr>
          <w:rFonts w:eastAsia="Times New Roman" w:cs="Times New Roman" w:ascii="Times New Roman" w:hAnsi="Times New Roman"/>
          <w:b/>
          <w:bCs/>
          <w:color w:val="0000FF"/>
          <w:sz w:val="24"/>
          <w:szCs w:val="24"/>
        </w:rPr>
        <w:t xml:space="preserve">LEARNING RESOURCES</w:t>
      </w:r>
    </w:p>
    <w:p>
      <w:pPr>
        <w:pStyle w:val="Normal"/>
        <w:widowControl w:val="false"/>
        <w:autoSpaceDE w:val="false"/>
        <w:spacing w:lineRule="auto" w:line="240" w:before="0" w:after="0"/>
        <w:ind w:end="142"/>
        <w:jc w:val="both"/>
        <w:rPr/>
      </w:pPr>
      <w:r>
        <w:rPr>
          <w:rFonts w:eastAsia="Times New Roman" w:cs="Times New Roman" w:ascii="Times New Roman" w:hAnsi="Times New Roman"/>
          <w:sz w:val="24"/>
          <w:szCs w:val="24"/>
        </w:rPr>
        <w:t xml:space="preserve">Teaching and methodological support of the discipline is published on the department websites. Route to the materials: </w:t>
      </w:r>
      <w:hyperlink r:id="rId20">
        <w:r>
          <w:rPr>
            <w:rStyle w:val="Hyperlink"/>
            <w:rFonts w:eastAsia="Times New Roman" w:cs="Times New Roman" w:ascii="Times New Roman" w:hAnsi="Times New Roman"/>
            <w:color w:val="0000FF"/>
            <w:sz w:val="24"/>
            <w:szCs w:val="24"/>
            <w:u w:val="single" w:color="0000FF"/>
          </w:rPr>
          <w:t>https://www.vnmu.edu.ua/department</w:t>
        </w:r>
      </w:hyperlink>
      <w:r>
        <w:rPr>
          <w:rFonts w:eastAsia="Times New Roman" w:cs="Times New Roman" w:ascii="Times New Roman" w:hAnsi="Times New Roman"/>
          <w:sz w:val="24"/>
          <w:szCs w:val="24"/>
        </w:rPr>
        <w:t xml:space="preserve"> / student/postgraduate student</w:t>
      </w:r>
    </w:p>
    <w:p>
      <w:pPr>
        <w:pStyle w:val="Normal"/>
        <w:widowControl w:val="false"/>
        <w:autoSpaceDE w:val="false"/>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numPr>
          <w:ilvl w:val="0"/>
          <w:numId w:val="0"/>
        </w:numPr>
        <w:autoSpaceDE w:val="false"/>
        <w:spacing w:lineRule="auto" w:line="240" w:before="0" w:after="0"/>
        <w:ind w:hanging="282" w:start="849" w:end="0"/>
        <w:outlineLvl w:val="0"/>
        <w:rPr>
          <w:rFonts w:ascii="Times New Roman" w:hAnsi="Times New Roman" w:eastAsia="Times New Roman" w:cs="Times New Roman"/>
          <w:b/>
          <w:bCs/>
          <w:sz w:val="24"/>
          <w:szCs w:val="24"/>
        </w:rPr>
      </w:pPr>
      <w:r>
        <w:rPr>
          <w:rFonts w:eastAsia="Times New Roman" w:cs="Times New Roman" w:ascii="Times New Roman" w:hAnsi="Times New Roman"/>
          <w:b/>
          <w:bCs/>
          <w:color w:val="0000FF"/>
          <w:spacing w:val="-2"/>
          <w:sz w:val="24"/>
          <w:szCs w:val="24"/>
        </w:rPr>
        <w:t xml:space="preserve">REFERENCES</w:t>
      </w:r>
    </w:p>
    <w:p>
      <w:pPr>
        <w:pStyle w:val="Normal"/>
        <w:widowControl w:val="false"/>
        <w:tabs>
          <w:tab w:val="clear" w:pos="708"/>
          <w:tab w:val="left" w:pos="567" w:leader="none"/>
        </w:tabs>
        <w:autoSpaceDE w:val="false"/>
        <w:spacing w:lineRule="auto" w:line="240" w:before="0" w:after="0"/>
        <w:ind w:hanging="502" w:start="502" w:end="0"/>
        <w:jc w:val="both"/>
        <w:rPr/>
      </w:pPr>
      <w:r>
        <w:rPr>
          <w:b/>
          <w:rFonts w:eastAsia="Times New Roman" w:cs="Times New Roman" w:ascii="Times New Roman" w:hAnsi="Times New Roman"/>
          <w:sz w:val="24"/>
          <w:szCs w:val="24"/>
        </w:rPr>
        <w:t xml:space="preserve">Main</w:t>
      </w:r>
    </w:p>
    <w:p>
      <w:pPr>
        <w:pStyle w:val="Normal"/>
        <w:widowControl w:val="false"/>
        <w:numPr>
          <w:ilvl w:val="0"/>
          <w:numId w:val="4"/>
        </w:numPr>
        <w:autoSpaceDE w:val="false"/>
        <w:spacing w:lineRule="auto" w:line="240" w:before="0" w:after="200"/>
        <w:ind w:hanging="0" w:start="0" w:end="0"/>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Pharmaceutical aspects of smoking, alcoholism, drug addiction and substance abuse: textbook for full-time and part-time (distance) students (elective discipline) / S. V. Baiurka, V. S. Bondar, S. A. Karpushyna et al. Kharkiv, 2017. 210 p. (in Ukrainian)</w:t>
      </w:r>
    </w:p>
    <w:p>
      <w:pPr>
        <w:pStyle w:val="Normal"/>
        <w:widowControl w:val="false"/>
        <w:numPr>
          <w:ilvl w:val="0"/>
          <w:numId w:val="4"/>
        </w:numPr>
        <w:autoSpaceDE w:val="false"/>
        <w:spacing w:lineRule="auto" w:line="240" w:before="0" w:after="200"/>
        <w:ind w:hanging="0" w:start="0" w:end="0"/>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Psychiatry and addiction medicine in general medical practice: textbook / H. M. Kozhyna, N. O. Maruta, L. M. Yurieva et al. 2nd ed. Medytsyna, 2023. 344 p. (in Ukrainian)</w:t>
      </w:r>
    </w:p>
    <w:p>
      <w:pPr>
        <w:pStyle w:val="Normal"/>
        <w:widowControl w:val="false"/>
        <w:numPr>
          <w:ilvl w:val="0"/>
          <w:numId w:val="4"/>
        </w:numPr>
        <w:autoSpaceDE w:val="false"/>
        <w:spacing w:lineRule="auto" w:line="240" w:before="0" w:after="200"/>
        <w:ind w:hanging="0" w:start="0" w:end="0"/>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Herasymenko L., Skrypnikov A. Emergency addiction care. Medknyha, 2024. 120 p. (in Ukrainian)</w:t>
      </w:r>
    </w:p>
    <w:p>
      <w:pPr>
        <w:pStyle w:val="Normal"/>
        <w:widowControl w:val="false"/>
        <w:numPr>
          <w:ilvl w:val="0"/>
          <w:numId w:val="4"/>
        </w:numPr>
        <w:autoSpaceDE w:val="false"/>
        <w:spacing w:lineRule="auto" w:line="240" w:before="0" w:after="200"/>
        <w:ind w:hanging="0" w:start="0" w:end="0"/>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Laws of Ukraine “On Narcotic Drugs, Psychotropic Substances and Precursors” and “On Measures to Counteract the Illicit Trafficking of Narcotic Drugs, Psychotropic Substances and Precursors and Their Abuse”. Palyvoda A. V., 2024. 48 p. (in Ukrainian)</w:t>
      </w:r>
    </w:p>
    <w:p>
      <w:pPr>
        <w:pStyle w:val="Normal"/>
        <w:widowControl w:val="false"/>
        <w:numPr>
          <w:ilvl w:val="0"/>
          <w:numId w:val="4"/>
        </w:numPr>
        <w:autoSpaceDE w:val="false"/>
        <w:spacing w:lineRule="auto" w:line="240" w:before="0" w:after="200"/>
        <w:ind w:hanging="0" w:start="0" w:end="0"/>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Pharmacology: textbook / ed. by I. S. Chekman. Vinnytsia, 2017. 784 p. (in Ukrainian)</w:t>
      </w:r>
    </w:p>
    <w:p>
      <w:pPr>
        <w:pStyle w:val="Normal"/>
        <w:widowControl w:val="false"/>
        <w:tabs>
          <w:tab w:val="clear" w:pos="708"/>
          <w:tab w:val="left" w:pos="426" w:leader="none"/>
        </w:tabs>
        <w:autoSpaceDE w:val="false"/>
        <w:spacing w:lineRule="auto" w:line="240" w:before="0" w:after="0"/>
        <w:ind w:hanging="360" w:start="426" w:end="0"/>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tabs>
          <w:tab w:val="clear" w:pos="708"/>
          <w:tab w:val="left" w:pos="426" w:leader="none"/>
        </w:tabs>
        <w:autoSpaceDE w:val="false"/>
        <w:spacing w:lineRule="auto" w:line="240" w:before="0" w:after="0"/>
        <w:ind w:hanging="426" w:start="426" w:end="0"/>
        <w:rPr>
          <w:rFonts w:ascii="Times New Roman" w:hAnsi="Times New Roman" w:eastAsia="Times New Roman" w:cs="Times New Roman"/>
          <w:b/>
          <w:sz w:val="24"/>
          <w:szCs w:val="24"/>
        </w:rPr>
      </w:pPr>
      <w:r>
        <w:rPr>
          <w:b/>
          <w:rFonts w:eastAsia="Times New Roman" w:cs="Times New Roman" w:ascii="Times New Roman" w:hAnsi="Times New Roman"/>
          <w:sz w:val="24"/>
          <w:szCs w:val="24"/>
        </w:rPr>
        <w:t xml:space="preserve">Supplementary</w:t>
      </w:r>
    </w:p>
    <w:p>
      <w:pPr>
        <w:pStyle w:val="Normal"/>
        <w:widowControl w:val="false"/>
        <w:numPr>
          <w:ilvl w:val="0"/>
          <w:numId w:val="3"/>
        </w:numPr>
        <w:autoSpaceDE w:val="false"/>
        <w:spacing w:lineRule="auto" w:line="240" w:before="0" w:after="200"/>
        <w:ind w:hanging="0" w:start="0" w:end="0"/>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Skrypnikov A. M., Zhyvotovska S. L., Bodnar L. A. Psychiatry and addiction medicine: teaching and methodological manual. Medytsyna, 2021. 224 p. (in Ukrainian)</w:t>
      </w:r>
    </w:p>
    <w:p>
      <w:pPr>
        <w:pStyle w:val="Normal"/>
        <w:widowControl w:val="false"/>
        <w:numPr>
          <w:ilvl w:val="0"/>
          <w:numId w:val="3"/>
        </w:numPr>
        <w:autoSpaceDE w:val="false"/>
        <w:spacing w:lineRule="auto" w:line="240" w:before="0" w:after="200"/>
        <w:ind w:hanging="0" w:start="0" w:end="0"/>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Nekoval I. V., Kazaniuk T. V. Pharmacology: textbook. 10th ed., revised and enlarged. Kyiv: Medytsyna, 2022. 552 p. (in Ukrainian)</w:t>
      </w:r>
    </w:p>
    <w:p>
      <w:pPr>
        <w:pStyle w:val="Normal"/>
        <w:widowControl w:val="false"/>
        <w:numPr>
          <w:ilvl w:val="0"/>
          <w:numId w:val="3"/>
        </w:numPr>
        <w:autoSpaceDE w:val="false"/>
        <w:spacing w:lineRule="auto" w:line="240" w:before="0" w:after="200"/>
        <w:ind w:hanging="0" w:start="0" w:end="0"/>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Rang &amp; Dale’s Pharmacology. In 2 vols. / J. M. Ritter, R. Flower, G. Henderson et al. 9th ed., revised and enlarged. Kyiv: Medytsyna, 2021, 2022. 588 p., 342 p. (in Ukrainian)</w:t>
      </w:r>
    </w:p>
    <w:p>
      <w:pPr>
        <w:pStyle w:val="Normal"/>
        <w:widowControl w:val="false"/>
        <w:numPr>
          <w:ilvl w:val="0"/>
          <w:numId w:val="3"/>
        </w:numPr>
        <w:autoSpaceDE w:val="false"/>
        <w:spacing w:lineRule="auto" w:line="240" w:before="0" w:after="200"/>
        <w:ind w:hanging="0" w:start="0" w:end="0"/>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Kaminer Y., Winters K. C. Substance use disorders and addictions. 2nd ed. SAGE Publications, 2024.</w:t>
      </w:r>
    </w:p>
    <w:p>
      <w:pPr>
        <w:pStyle w:val="Normal"/>
        <w:widowControl w:val="false"/>
        <w:numPr>
          <w:ilvl w:val="0"/>
          <w:numId w:val="3"/>
        </w:numPr>
        <w:autoSpaceDE w:val="false"/>
        <w:spacing w:lineRule="auto" w:line="240" w:before="0" w:after="200"/>
        <w:ind w:hanging="0" w:start="0" w:end="0"/>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Wang C., Wang Y., Liu Y., Wang X. Advancements in addressing drug dependence: A review of promising therapeutic strategies and interventions. Progress in Neuro-Psychopharmacology and Biological Psychiatry. 2024. Vol. 125. 110781. https://doi.org/10.1016/j.pnpbp.2024.110781</w:t>
      </w:r>
    </w:p>
    <w:p>
      <w:pPr>
        <w:pStyle w:val="Normal"/>
        <w:widowControl w:val="false"/>
        <w:numPr>
          <w:ilvl w:val="0"/>
          <w:numId w:val="3"/>
        </w:numPr>
        <w:autoSpaceDE w:val="false"/>
        <w:spacing w:lineRule="auto" w:line="240" w:before="0" w:after="200"/>
        <w:ind w:hanging="0" w:start="0" w:end="0"/>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On Measures to Counteract the Illicit Trafficking of Narcotic Drugs, Psychotropic Substances and Precursors and Their Abuse: Law of Ukraine of 15.02.1995 No. 62/95-VR (as amended on 13.12.2022). https://zakon.rada.gov.ua/laws/show/62/95-вр#Text (in Ukrainian)</w:t>
      </w:r>
    </w:p>
    <w:p>
      <w:pPr>
        <w:pStyle w:val="Normal"/>
        <w:widowControl w:val="false"/>
        <w:numPr>
          <w:ilvl w:val="0"/>
          <w:numId w:val="0"/>
        </w:numPr>
        <w:autoSpaceDE w:val="false"/>
        <w:spacing w:lineRule="auto" w:line="240" w:before="160" w:after="0"/>
        <w:ind w:hanging="282" w:start="849" w:end="0"/>
        <w:outlineLvl w:val="0"/>
        <w:rPr>
          <w:rFonts w:ascii="Times New Roman" w:hAnsi="Times New Roman" w:eastAsia="Times New Roman" w:cs="Times New Roman"/>
          <w:b/>
          <w:bCs/>
          <w:color w:val="0000FF"/>
          <w:sz w:val="24"/>
          <w:szCs w:val="24"/>
        </w:rPr>
      </w:pPr>
      <w:r>
        <w:rPr>
          <w:rFonts w:eastAsia="Times New Roman" w:cs="Times New Roman" w:ascii="Times New Roman" w:hAnsi="Times New Roman"/>
          <w:b/>
          <w:bCs/>
          <w:color w:val="0000FF"/>
          <w:sz w:val="24"/>
          <w:szCs w:val="24"/>
        </w:rPr>
      </w:r>
    </w:p>
    <w:p>
      <w:pPr>
        <w:pStyle w:val="Normal"/>
        <w:widowControl w:val="false"/>
        <w:numPr>
          <w:ilvl w:val="0"/>
          <w:numId w:val="0"/>
        </w:numPr>
        <w:autoSpaceDE w:val="false"/>
        <w:spacing w:lineRule="auto" w:line="240" w:before="160" w:after="0"/>
        <w:ind w:hanging="282" w:start="849" w:end="0"/>
        <w:outlineLvl w:val="0"/>
        <w:rPr>
          <w:rFonts w:ascii="Times New Roman" w:hAnsi="Times New Roman" w:eastAsia="Times New Roman" w:cs="Times New Roman"/>
          <w:b/>
          <w:bCs/>
          <w:sz w:val="24"/>
          <w:szCs w:val="24"/>
        </w:rPr>
      </w:pPr>
      <w:r>
        <w:rPr>
          <w:rFonts w:eastAsia="Times New Roman" w:cs="Times New Roman" w:ascii="Times New Roman" w:hAnsi="Times New Roman"/>
          <w:b/>
          <w:bCs/>
          <w:color w:val="0000FF"/>
          <w:sz w:val="24"/>
          <w:szCs w:val="24"/>
        </w:rPr>
        <w:t xml:space="preserve">ELECTRONIC RESOURCES</w:t>
      </w:r>
    </w:p>
    <w:p>
      <w:pPr>
        <w:pStyle w:val="Normal"/>
        <w:widowControl w:val="false"/>
        <w:tabs>
          <w:tab w:val="clear" w:pos="708"/>
          <w:tab w:val="left" w:pos="567" w:leader="none"/>
        </w:tabs>
        <w:autoSpaceDE w:val="false"/>
        <w:spacing w:lineRule="auto" w:line="240" w:before="0" w:after="0"/>
        <w:jc w:val="both"/>
        <w:rPr/>
      </w:pPr>
      <w:r>
        <w:rPr>
          <w:rFonts w:eastAsia="Times New Roman" w:cs="Times New Roman" w:ascii="Times New Roman" w:hAnsi="Times New Roman"/>
          <w:sz w:val="24"/>
          <w:szCs w:val="24"/>
        </w:rPr>
        <w:t xml:space="preserve">University website: http://vnmu.edu.ua</w:t>
      </w:r>
    </w:p>
    <w:p>
      <w:pPr>
        <w:pStyle w:val="Normal"/>
        <w:widowControl w:val="false"/>
        <w:tabs>
          <w:tab w:val="clear" w:pos="708"/>
          <w:tab w:val="left" w:pos="862" w:leader="none"/>
        </w:tabs>
        <w:autoSpaceDE w:val="false"/>
        <w:spacing w:lineRule="auto" w:line="240" w:before="0" w:after="0"/>
        <w:ind w:end="142"/>
        <w:rPr/>
      </w:pPr>
      <w:r>
        <w:rPr>
          <w:rFonts w:eastAsia="Times New Roman" w:cs="Times New Roman" w:ascii="Times New Roman" w:hAnsi="Times New Roman"/>
          <w:sz w:val="24"/>
          <w:szCs w:val="24"/>
        </w:rPr>
        <w:t xml:space="preserve">Department website </w:t>
      </w:r>
      <w:hyperlink r:id="rId26">
        <w:r>
          <w:rPr>
            <w:rStyle w:val="Hyperlink"/>
            <w:rFonts w:eastAsia="Times New Roman" w:cs="Times New Roman" w:ascii="Times New Roman" w:hAnsi="Times New Roman"/>
            <w:color w:val="0000FF"/>
            <w:sz w:val="24"/>
            <w:szCs w:val="24"/>
            <w:u w:val="single" w:color="0000FF"/>
          </w:rPr>
          <w:t>https://www.vnmu.edu.ua/department</w:t>
        </w:r>
      </w:hyperlink>
      <w:r>
        <w:rPr>
          <w:rFonts w:eastAsia="Times New Roman" w:cs="Times New Roman" w:ascii="Times New Roman" w:hAnsi="Times New Roman"/>
          <w:sz w:val="24"/>
          <w:szCs w:val="24"/>
        </w:rPr>
        <w:t xml:space="preserve"> ___________ </w:t>
      </w:r>
    </w:p>
    <w:p>
      <w:pPr>
        <w:pStyle w:val="Normal"/>
        <w:widowControl w:val="false"/>
        <w:tabs>
          <w:tab w:val="clear" w:pos="708"/>
          <w:tab w:val="left" w:pos="862" w:leader="none"/>
        </w:tabs>
        <w:autoSpaceDE w:val="false"/>
        <w:spacing w:lineRule="auto" w:line="240" w:before="0" w:after="0"/>
        <w:rPr>
          <w:rFonts w:ascii="Times New Roman" w:hAnsi="Times New Roman" w:eastAsia="Times New Roman" w:cs="Times New Roman"/>
          <w:sz w:val="24"/>
        </w:rPr>
      </w:pPr>
      <w:r>
        <w:rPr>
          <w:rFonts w:eastAsia="Times New Roman" w:cs="Times New Roman" w:ascii="Times New Roman" w:hAnsi="Times New Roman"/>
          <w:sz w:val="24"/>
        </w:rPr>
        <w:t xml:space="preserve">University library website: </w:t>
      </w:r>
      <w:hyperlink r:id="rId27">
        <w:r>
          <w:rPr>
            <w:rStyle w:val="Hyperlink"/>
            <w:rFonts w:eastAsia="Times New Roman" w:cs="Times New Roman" w:ascii="Times New Roman" w:hAnsi="Times New Roman"/>
            <w:color w:val="0000FF"/>
            <w:spacing w:val="-2"/>
            <w:sz w:val="24"/>
            <w:u w:val="single" w:color="0000FF"/>
          </w:rPr>
          <w:t>http://www.library.vnmu.edu.ua</w:t>
        </w:r>
      </w:hyperlink>
    </w:p>
    <w:p>
      <w:pPr>
        <w:pStyle w:val="Normal"/>
        <w:widowControl w:val="false"/>
        <w:tabs>
          <w:tab w:val="clear" w:pos="708"/>
          <w:tab w:val="left" w:pos="567" w:leader="none"/>
        </w:tabs>
        <w:autoSpaceDE w:val="false"/>
        <w:spacing w:lineRule="auto" w:line="240" w:before="0" w:after="0"/>
        <w:jc w:val="both"/>
        <w:rPr/>
      </w:pPr>
      <w:r>
        <w:rPr>
          <w:rFonts w:eastAsia="Times New Roman" w:cs="Times New Roman" w:ascii="Times New Roman" w:hAnsi="Times New Roman"/>
          <w:sz w:val="24"/>
          <w:szCs w:val="24"/>
        </w:rPr>
        <w:t xml:space="preserve">World Health Organization </w:t>
      </w:r>
      <w:hyperlink r:id="rId29">
        <w:r>
          <w:rPr>
            <w:rStyle w:val="Hyperlink"/>
            <w:rFonts w:eastAsia="Times New Roman" w:cs="Times New Roman" w:ascii="Times New Roman" w:hAnsi="Times New Roman"/>
            <w:color w:val="0000FF"/>
            <w:sz w:val="24"/>
            <w:szCs w:val="24"/>
            <w:u w:val="single"/>
          </w:rPr>
          <w:t>http://www.who.int/en/</w:t>
        </w:r>
      </w:hyperlink>
      <w:r>
        <w:rPr>
          <w:rFonts w:eastAsia="Times New Roman" w:cs="Times New Roman" w:ascii="Times New Roman" w:hAnsi="Times New Roman"/>
          <w:sz w:val="24"/>
          <w:szCs w:val="24"/>
        </w:rPr>
        <w:t xml:space="preserve"> </w:t>
      </w:r>
    </w:p>
    <w:p>
      <w:pPr>
        <w:pStyle w:val="Normal"/>
        <w:widowControl w:val="false"/>
        <w:tabs>
          <w:tab w:val="clear" w:pos="708"/>
          <w:tab w:val="left" w:pos="567" w:leader="none"/>
        </w:tabs>
        <w:autoSpaceDE w:val="false"/>
        <w:spacing w:lineRule="auto" w:line="240" w:before="0" w:after="0"/>
        <w:jc w:val="both"/>
        <w:rPr/>
      </w:pPr>
      <w:r>
        <w:rPr>
          <w:rFonts w:eastAsia="Times New Roman" w:cs="Times New Roman" w:ascii="Times New Roman" w:hAnsi="Times New Roman"/>
          <w:sz w:val="24"/>
          <w:szCs w:val="24"/>
        </w:rPr>
        <w:t xml:space="preserve">Ministry of Health of Ukraine </w:t>
      </w:r>
      <w:hyperlink r:id="rId30">
        <w:r>
          <w:rPr>
            <w:rStyle w:val="Hyperlink"/>
            <w:rFonts w:eastAsia="Times New Roman" w:cs="Times New Roman" w:ascii="Times New Roman" w:hAnsi="Times New Roman"/>
            <w:color w:val="0000FF"/>
            <w:sz w:val="24"/>
            <w:szCs w:val="24"/>
            <w:u w:val="single"/>
          </w:rPr>
          <w:t>https://moz.gov.ua/</w:t>
        </w:r>
      </w:hyperlink>
      <w:r>
        <w:rPr>
          <w:rFonts w:eastAsia="Times New Roman" w:cs="Times New Roman" w:ascii="Times New Roman" w:hAnsi="Times New Roman"/>
          <w:sz w:val="24"/>
          <w:szCs w:val="24"/>
        </w:rPr>
        <w:t xml:space="preserve"> </w:t>
      </w:r>
    </w:p>
    <w:p>
      <w:pPr>
        <w:pStyle w:val="Normal"/>
        <w:widowControl w:val="false"/>
        <w:tabs>
          <w:tab w:val="clear" w:pos="708"/>
          <w:tab w:val="left" w:pos="567" w:leader="none"/>
        </w:tabs>
        <w:autoSpaceDE w:val="false"/>
        <w:spacing w:lineRule="auto" w:line="240" w:before="0" w:after="0"/>
        <w:jc w:val="both"/>
        <w:rPr/>
      </w:pPr>
      <w:r>
        <w:rPr>
          <w:rFonts w:eastAsia="Times New Roman" w:cs="Times New Roman" w:ascii="Times New Roman" w:hAnsi="Times New Roman"/>
          <w:sz w:val="24"/>
          <w:szCs w:val="24"/>
        </w:rPr>
        <w:t xml:space="preserve">Public Health Center of the Ministry of Health of Ukraine: Dependence on psychoactive substances https://phc.org.ua/kontrol-zakhvoryuvan/zalezhnist-vid-psikhoaktivnikh-rechovin</w:t>
      </w:r>
    </w:p>
    <w:p>
      <w:pPr>
        <w:pStyle w:val="Normal"/>
        <w:widowControl w:val="false"/>
        <w:tabs>
          <w:tab w:val="clear" w:pos="708"/>
          <w:tab w:val="left" w:pos="567" w:leader="none"/>
        </w:tabs>
        <w:autoSpaceDE w:val="false"/>
        <w:spacing w:lineRule="auto" w:line="240" w:before="0" w:after="0"/>
        <w:jc w:val="both"/>
        <w:rPr/>
      </w:pPr>
      <w:r>
        <w:rPr>
          <w:rFonts w:eastAsia="Times New Roman" w:cs="Times New Roman" w:ascii="Times New Roman" w:hAnsi="Times New Roman"/>
          <w:sz w:val="24"/>
          <w:szCs w:val="24"/>
        </w:rPr>
        <w:t xml:space="preserve">State Expert Center of the Ministry of Health of Ukraine: Pharmacist protocols https://www.dec.gov.ua/mtd/protokoly-farmaczevta/</w:t>
      </w:r>
    </w:p>
    <w:p>
      <w:pPr>
        <w:pStyle w:val="Normal"/>
        <w:widowControl w:val="false"/>
        <w:tabs>
          <w:tab w:val="clear" w:pos="708"/>
          <w:tab w:val="left" w:pos="567" w:leader="none"/>
        </w:tabs>
        <w:autoSpaceDE w:val="false"/>
        <w:spacing w:lineRule="auto" w:line="240" w:before="0" w:after="0"/>
        <w:jc w:val="both"/>
        <w:rPr/>
      </w:pPr>
      <w:r>
        <w:rPr>
          <w:rFonts w:eastAsia="Times New Roman" w:cs="Times New Roman" w:ascii="Times New Roman" w:hAnsi="Times New Roman"/>
          <w:sz w:val="24"/>
          <w:szCs w:val="24"/>
        </w:rPr>
        <w:t xml:space="preserve">Pharmaceutical Encyclopedia: Psychotropic substances https://www.pharmencyclopedia.com.ua/article/1023/psixotropni-rechovini</w:t>
      </w:r>
    </w:p>
    <w:p>
      <w:pPr>
        <w:pStyle w:val="Normal"/>
        <w:widowControl w:val="false"/>
        <w:tabs>
          <w:tab w:val="clear" w:pos="708"/>
          <w:tab w:val="left" w:pos="567" w:leader="none"/>
        </w:tabs>
        <w:autoSpaceDE w:val="false"/>
        <w:spacing w:lineRule="auto" w:line="240" w:before="0" w:after="0"/>
        <w:jc w:val="both"/>
        <w:rPr/>
      </w:pPr>
      <w:r>
        <w:rPr>
          <w:rFonts w:eastAsia="Times New Roman" w:cs="Times New Roman" w:ascii="Times New Roman" w:hAnsi="Times New Roman"/>
          <w:sz w:val="24"/>
          <w:szCs w:val="24"/>
        </w:rPr>
        <w:t xml:space="preserve">State Service of Ukraine on Medicines http://dls.gov.ua</w:t>
      </w:r>
    </w:p>
    <w:p>
      <w:pPr>
        <w:pStyle w:val="Normal"/>
        <w:widowControl w:val="false"/>
        <w:tabs>
          <w:tab w:val="clear" w:pos="708"/>
          <w:tab w:val="left" w:pos="567" w:leader="none"/>
        </w:tabs>
        <w:autoSpaceDE w:val="false"/>
        <w:spacing w:lineRule="auto" w:line="240" w:before="0" w:after="0"/>
        <w:jc w:val="both"/>
        <w:rPr/>
      </w:pPr>
      <w:r>
        <w:rPr>
          <w:rFonts w:eastAsia="Times New Roman" w:cs="Times New Roman" w:ascii="Times New Roman" w:hAnsi="Times New Roman"/>
          <w:sz w:val="24"/>
          <w:szCs w:val="24"/>
        </w:rPr>
        <w:t xml:space="preserve">Testing Center https://www.testcentr.org.ua/uk/</w:t>
      </w:r>
    </w:p>
    <w:p>
      <w:pPr>
        <w:pStyle w:val="Normal"/>
        <w:widowControl w:val="false"/>
        <w:autoSpaceDE w:val="false"/>
        <w:spacing w:lineRule="auto" w:line="240" w:before="0" w:after="0"/>
        <w:ind w:end="139"/>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bookmarkStart w:id="4" w:name="_Hlk195268977"/>
      <w:bookmarkStart w:id="5" w:name="_Hlk195268977"/>
      <w:bookmarkEnd w:id="5"/>
    </w:p>
    <w:p>
      <w:pPr>
        <w:pStyle w:val="Normal"/>
        <w:widowControl w:val="false"/>
        <w:autoSpaceDE w:val="false"/>
        <w:spacing w:lineRule="auto" w:line="240" w:before="0" w:after="0"/>
        <w:ind w:end="139"/>
        <w:jc w:val="both"/>
        <w:rPr/>
      </w:pPr>
      <w:r>
        <w:rPr>
          <w:rFonts w:eastAsia="Times New Roman" w:cs="Times New Roman" w:ascii="Times New Roman" w:hAnsi="Times New Roman"/>
          <w:sz w:val="24"/>
          <w:szCs w:val="24"/>
        </w:rPr>
        <w:t xml:space="preserve">The syllabus for the discipline “Pharmaceutical Aspects of Substance Abuse and Drug Addiction” was discussed and approved at a meeting of the Department of Pharmacy (minutes of 26 August 2026, No. 1).</w:t>
      </w:r>
    </w:p>
    <w:p>
      <w:pPr>
        <w:pStyle w:val="Normal"/>
        <w:widowControl w:val="false"/>
        <w:tabs>
          <w:tab w:val="clear" w:pos="708"/>
          <w:tab w:val="left" w:pos="1424" w:leader="none"/>
          <w:tab w:val="left" w:pos="2636" w:leader="none"/>
          <w:tab w:val="left" w:pos="4141" w:leader="none"/>
          <w:tab w:val="left" w:pos="4709" w:leader="none"/>
          <w:tab w:val="left" w:pos="6016" w:leader="none"/>
          <w:tab w:val="left" w:pos="6847" w:leader="none"/>
          <w:tab w:val="left" w:pos="8231" w:leader="none"/>
          <w:tab w:val="left" w:pos="9061" w:leader="none"/>
          <w:tab w:val="left" w:pos="9477" w:leader="none"/>
        </w:tabs>
        <w:autoSpaceDE w:val="false"/>
        <w:spacing w:lineRule="auto" w:line="240" w:before="0" w:after="0"/>
        <w:ind w:start="142" w:end="139"/>
        <w:rPr>
          <w:rFonts w:ascii="Times New Roman" w:hAnsi="Times New Roman" w:eastAsia="Times New Roman" w:cs="Times New Roman"/>
          <w:sz w:val="24"/>
          <w:szCs w:val="24"/>
        </w:rPr>
      </w:pPr>
      <w:r>
        <w:rPr>
          <w:rFonts w:eastAsia="Times New Roman" w:cs="Times New Roman" w:ascii="Times New Roman" w:hAnsi="Times New Roman"/>
          <w:sz w:val="24"/>
          <w:szCs w:val="24"/>
        </w:rPr>
      </w:r>
      <w:bookmarkStart w:id="6" w:name="_Hlk195268977"/>
      <w:bookmarkStart w:id="7" w:name="_Hlk195268977"/>
      <w:bookmarkEnd w:id="7"/>
    </w:p>
    <w:p>
      <w:pPr>
        <w:pStyle w:val="Normal"/>
        <w:widowControl w:val="false"/>
        <w:tabs>
          <w:tab w:val="clear" w:pos="708"/>
          <w:tab w:val="left" w:pos="1424" w:leader="none"/>
          <w:tab w:val="left" w:pos="2636" w:leader="none"/>
          <w:tab w:val="left" w:pos="4141" w:leader="none"/>
          <w:tab w:val="left" w:pos="4709" w:leader="none"/>
          <w:tab w:val="left" w:pos="6016" w:leader="none"/>
          <w:tab w:val="left" w:pos="6847" w:leader="none"/>
          <w:tab w:val="left" w:pos="8231" w:leader="none"/>
          <w:tab w:val="left" w:pos="9061" w:leader="none"/>
          <w:tab w:val="left" w:pos="9477" w:leader="none"/>
        </w:tabs>
        <w:autoSpaceDE w:val="false"/>
        <w:spacing w:lineRule="auto" w:line="240" w:before="0" w:after="0"/>
        <w:ind w:end="139"/>
        <w:rPr>
          <w:rFonts w:ascii="Times New Roman" w:hAnsi="Times New Roman" w:eastAsia="Times New Roman" w:cs="Times New Roman"/>
          <w:b/>
          <w:sz w:val="24"/>
          <w:szCs w:val="24"/>
        </w:rPr>
      </w:pPr>
      <w:r>
        <w:rPr>
          <w:rFonts w:eastAsia="Times New Roman" w:cs="Times New Roman" w:ascii="Times New Roman" w:hAnsi="Times New Roman"/>
          <w:b/>
          <w:sz w:val="24"/>
          <w:szCs w:val="24"/>
        </w:rPr>
        <w:t xml:space="preserve">Course coordinator: </w:t>
      </w:r>
    </w:p>
    <w:p>
      <w:pPr>
        <w:pStyle w:val="Normal"/>
        <w:widowControl w:val="false"/>
        <w:autoSpaceDE w:val="false"/>
        <w:spacing w:lineRule="auto" w:line="240" w:before="0" w:after="0"/>
        <w:rPr>
          <w:rFonts w:ascii="Times New Roman" w:hAnsi="Times New Roman" w:eastAsia="Times New Roman" w:cs="Times New Roman"/>
          <w:sz w:val="16"/>
          <w:szCs w:val="16"/>
        </w:rPr>
      </w:pPr>
      <w:r>
        <w:rPr>
          <w:rFonts w:eastAsia="Times New Roman" w:cs="Times New Roman" w:ascii="Times New Roman" w:hAnsi="Times New Roman"/>
          <w:szCs w:val="28"/>
        </w:rPr>
        <w:t>Cand. Pharm. Sc., Assoc. prof.  _______</w:t>
      </w:r>
      <w:r>
        <w:rPr>
          <w:rFonts w:eastAsia="Times New Roman" w:cs="Times New Roman" w:ascii="Times New Roman" w:hAnsi="Times New Roman"/>
          <w:szCs w:val="28"/>
          <w:lang w:val="ru-RU"/>
        </w:rPr>
        <w:t>___</w:t>
      </w:r>
      <w:r>
        <w:rPr>
          <w:rFonts w:eastAsia="Times New Roman" w:cs="Times New Roman" w:ascii="Times New Roman" w:hAnsi="Times New Roman"/>
          <w:szCs w:val="28"/>
        </w:rPr>
        <w:t xml:space="preserve"> </w:t>
      </w:r>
      <w:r>
        <w:rPr>
          <w:rFonts w:eastAsia="Times New Roman" w:cs="Times New Roman" w:ascii="Times New Roman" w:hAnsi="Times New Roman"/>
          <w:sz w:val="24"/>
        </w:rPr>
        <w:t>Alona VORONKINA</w:t>
        <w:tab/>
        <w:tab/>
      </w:r>
      <w:r>
        <w:rPr>
          <w:rFonts w:eastAsia="Times New Roman" w:cs="Times New Roman" w:ascii="Times New Roman" w:hAnsi="Times New Roman"/>
          <w:szCs w:val="28"/>
          <w:lang w:val="ru-RU"/>
        </w:rPr>
        <w:t xml:space="preserve">              </w:t>
      </w:r>
      <w:r>
        <w:rPr>
          <w:rFonts w:eastAsia="Times New Roman" w:cs="Times New Roman" w:ascii="Times New Roman" w:hAnsi="Times New Roman"/>
          <w:szCs w:val="28"/>
        </w:rPr>
        <w:t xml:space="preserve">                                    </w:t>
      </w:r>
      <w:r>
        <w:rPr>
          <w:rFonts w:eastAsia="Times New Roman" w:cs="Times New Roman" w:ascii="Times New Roman" w:hAnsi="Times New Roman"/>
          <w:bCs/>
          <w:sz w:val="16"/>
          <w:szCs w:val="16"/>
        </w:rPr>
        <w:t xml:space="preserve">             </w:t>
      </w:r>
    </w:p>
    <w:p>
      <w:pPr>
        <w:pStyle w:val="Normal"/>
        <w:widowControl w:val="false"/>
        <w:tabs>
          <w:tab w:val="clear" w:pos="708"/>
          <w:tab w:val="left" w:pos="426" w:leader="none"/>
        </w:tabs>
        <w:autoSpaceDE w:val="false"/>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tabs>
          <w:tab w:val="clear" w:pos="708"/>
          <w:tab w:val="left" w:pos="426" w:leader="none"/>
        </w:tabs>
        <w:autoSpaceDE w:val="false"/>
        <w:spacing w:lineRule="auto" w:line="240" w:before="0" w:after="0"/>
        <w:rPr/>
      </w:pPr>
      <w:r>
        <w:rPr>
          <w:rFonts w:eastAsia="Times New Roman" w:cs="Times New Roman" w:ascii="Times New Roman" w:hAnsi="Times New Roman"/>
          <w:sz w:val="24"/>
          <w:szCs w:val="24"/>
        </w:rPr>
        <w:t xml:space="preserve">Acting Head of the Department of Pharmacy                                               </w:t>
      </w:r>
      <w:r>
        <w:rPr>
          <w:rFonts w:eastAsia="Times New Roman" w:cs="Arial Unicode MS" w:ascii="Times New Roman" w:hAnsi="Times New Roman"/>
          <w:color w:val="000000"/>
          <w:sz w:val="24"/>
          <w:szCs w:val="24"/>
        </w:rPr>
        <w:t xml:space="preserve"> </w:t>
      </w:r>
      <w:r>
        <w:rPr>
          <w:rFonts w:eastAsia="Times New Roman" w:cs="Times New Roman" w:ascii="Times New Roman" w:hAnsi="Times New Roman"/>
          <w:sz w:val="24"/>
          <w:szCs w:val="24"/>
        </w:rPr>
        <w:t xml:space="preserve">              </w:t>
      </w:r>
    </w:p>
    <w:p>
      <w:pPr>
        <w:pStyle w:val="Normal"/>
        <w:widowControl w:val="false"/>
        <w:autoSpaceDE w:val="false"/>
        <w:spacing w:lineRule="auto" w:line="240" w:before="0" w:after="0"/>
        <w:rPr/>
      </w:pPr>
      <w:r>
        <w:rPr>
          <w:rFonts w:eastAsia="Times New Roman" w:cs="Times New Roman" w:ascii="Times New Roman" w:hAnsi="Times New Roman"/>
          <w:szCs w:val="28"/>
        </w:rPr>
        <w:t>Cand. Pharm. Sc., Assoc. prof.   _______</w:t>
      </w:r>
      <w:r>
        <w:rPr>
          <w:rFonts w:eastAsia="Times New Roman" w:cs="Times New Roman" w:ascii="Times New Roman" w:hAnsi="Times New Roman"/>
          <w:szCs w:val="28"/>
          <w:lang w:val="ru-RU"/>
        </w:rPr>
        <w:t>___</w:t>
      </w:r>
      <w:r>
        <w:rPr>
          <w:rFonts w:eastAsia="Times New Roman" w:cs="Times New Roman" w:ascii="Times New Roman" w:hAnsi="Times New Roman"/>
          <w:szCs w:val="28"/>
        </w:rPr>
        <w:t xml:space="preserve"> </w:t>
      </w:r>
      <w:r>
        <w:rPr>
          <w:rFonts w:eastAsia="Times New Roman" w:cs="Times New Roman" w:ascii="Times New Roman" w:hAnsi="Times New Roman"/>
          <w:sz w:val="24"/>
        </w:rPr>
        <w:t>Yuliia TOMASHEVSKA</w:t>
      </w:r>
      <w:r>
        <w:rPr>
          <w:rFonts w:eastAsia="Times New Roman" w:cs="Times New Roman" w:ascii="Times New Roman" w:hAnsi="Times New Roman"/>
          <w:szCs w:val="28"/>
          <w:lang w:val="ru-RU"/>
        </w:rPr>
        <w:t xml:space="preserve">   </w:t>
      </w:r>
    </w:p>
    <w:sectPr>
      <w:type w:val="nextPage"/>
      <w:pgSz w:w="11906" w:h="16838"/>
      <w:pgMar w:left="1417" w:right="850" w:gutter="0" w:header="0" w:top="850" w:footer="0" w:bottom="85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libri">
    <w:charset w:val="cc" w:characterSet="windows-1251"/>
    <w:family w:val="swiss"/>
    <w:pitch w:val="variable"/>
  </w:font>
  <w:font w:name="Courier New">
    <w:charset w:val="00" w:characterSet="windows-1252"/>
    <w:family w:val="modern"/>
    <w:pitch w:val="default"/>
  </w:font>
  <w:font w:name="Wingdings">
    <w:charset w:val="02"/>
    <w:family w:val="auto"/>
    <w:pitch w:val="variable"/>
  </w:font>
  <w:font w:name="Liberation Sans">
    <w:altName w:val="Arial"/>
    <w:charset w:val="01" w:characterSet="utf-8"/>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0"/>
        </w:tabs>
        <w:ind w:start="720" w:hanging="360"/>
      </w:pPr>
      <w:rPr>
        <w:rFonts w:ascii="Symbol" w:hAnsi="Symbol" w:cs="Symbol" w:hint="default"/>
      </w:rPr>
    </w:lvl>
  </w:abstractNum>
  <w:abstractNum w:abstractNumId="2">
    <w:lvl w:ilvl="0">
      <w:start w:val="1"/>
      <w:numFmt w:val="decimal"/>
      <w:lvlText w:val="%1."/>
      <w:lvlJc w:val="start"/>
      <w:pPr>
        <w:tabs>
          <w:tab w:val="num" w:pos="283"/>
        </w:tabs>
        <w:ind w:start="283" w:hanging="283"/>
      </w:pPr>
    </w:lvl>
  </w:abstractNum>
  <w:abstractNum w:abstractNumId="3">
    <w:lvl w:ilvl="0">
      <w:start w:val="1"/>
      <w:numFmt w:val="decimal"/>
      <w:lvlText w:val="%1."/>
      <w:lvlJc w:val="start"/>
      <w:pPr>
        <w:tabs>
          <w:tab w:val="num" w:pos="0"/>
        </w:tabs>
        <w:ind w:start="720" w:hanging="360"/>
      </w:pPr>
      <w:rPr>
        <w:b w:val="false"/>
        <w:bCs w:val="false"/>
      </w:rPr>
    </w:lvl>
  </w:abstractNum>
  <w:abstractNum w:abstractNumId="4">
    <w:lvl w:ilvl="0">
      <w:start w:val="1"/>
      <w:numFmt w:val="decimal"/>
      <w:lvlText w:val="%1."/>
      <w:lvlJc w:val="start"/>
      <w:pPr>
        <w:tabs>
          <w:tab w:val="num" w:pos="0"/>
        </w:tabs>
        <w:ind w:start="720" w:hanging="360"/>
      </w:pPr>
    </w:lvl>
  </w:abstractNum>
  <w:abstractNum w:abstractNumId="5">
    <w:lvl w:ilvl="0">
      <w:start w:val="1"/>
      <w:numFmt w:val="decimal"/>
      <w:lvlText w:val="%1."/>
      <w:lvlJc w:val="start"/>
      <w:pPr>
        <w:tabs>
          <w:tab w:val="num" w:pos="708"/>
        </w:tabs>
        <w:ind w:start="644" w:hanging="360"/>
      </w:pPr>
      <w:rPr>
        <w:sz w:val="24"/>
        <w:spacing w:val="0"/>
        <w:i w:val="false"/>
        <w:b/>
        <w:szCs w:val="24"/>
        <w:iCs w:val="false"/>
        <w:bCs/>
        <w:w w:val="100"/>
        <w:rFonts w:ascii="Times New Roman" w:hAnsi="Times New Roman" w:eastAsia="Times New Roman" w:cs="Times New Roman"/>
        <w:color w:val="2F5496"/>
        <w:lang w:val="uk-UA" w:bidi="ar-SA"/>
      </w:rPr>
    </w:lvl>
  </w:abstractNum>
  <w:abstractNum w:abstractNumId="6">
    <w:lvl w:ilvl="0">
      <w:start w:val="1"/>
      <w:numFmt w:val="bullet"/>
      <w:lvlText w:val=""/>
      <w:lvlJc w:val="start"/>
      <w:pPr>
        <w:tabs>
          <w:tab w:val="num" w:pos="0"/>
        </w:tabs>
        <w:ind w:start="1429" w:hanging="360"/>
      </w:pPr>
      <w:rPr>
        <w:rFonts w:ascii="Symbol" w:hAnsi="Symbol" w:cs="Symbol" w:hint="default"/>
      </w:rPr>
    </w:lvl>
  </w:abstractNum>
  <w:abstractNum w:abstractNumId="7">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FreeSans"/>
        <w:sz w:val="24"/>
        <w:szCs w:val="24"/>
        <w:lang w:val="en-US" w:eastAsia="zh-CN" w:bidi="hi-IN"/>
      </w:rPr>
    </w:rPrDefault>
    <w:pPrDefault>
      <w:pPr>
        <w:suppressAutoHyphens w:val="true"/>
      </w:pPr>
    </w:pPrDefault>
  </w:docDefaults>
  <w:style w:type="paragraph" w:styleId="Normal">
    <w:name w:val="Normal"/>
    <w:qFormat/>
    <w:pPr>
      <w:widowControl/>
      <w:bidi w:val="0"/>
      <w:spacing w:lineRule="auto" w:line="256" w:before="0" w:after="160"/>
    </w:pPr>
    <w:rPr>
      <w:rFonts w:ascii="Calibri" w:hAnsi="Calibri" w:eastAsia="Calibri" w:cs="Times New Roman"/>
      <w:color w:val="auto"/>
      <w:sz w:val="22"/>
      <w:szCs w:val="22"/>
      <w:lang w:val="uk-UA" w:bidi="ar-SA" w:eastAsia="zh-CN"/>
    </w:rPr>
  </w:style>
  <w:style w:type="character" w:styleId="WW8Num1z0">
    <w:name w:val="WW8Num1z0"/>
    <w:qFormat/>
    <w:rPr>
      <w:rFonts w:ascii="Symbol" w:hAnsi="Symbol" w:cs="Symbol"/>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3z0">
    <w:name w:val="WW8Num3z0"/>
    <w:qFormat/>
    <w:rPr>
      <w:b w:val="false"/>
      <w:bCs w:val="false"/>
    </w:rPr>
  </w:style>
  <w:style w:type="character" w:styleId="WW8Num5z0">
    <w:name w:val="WW8Num5z0"/>
    <w:qFormat/>
    <w:rPr>
      <w:rFonts w:ascii="Times New Roman" w:hAnsi="Times New Roman" w:eastAsia="Times New Roman" w:cs="Times New Roman"/>
      <w:b/>
      <w:bCs/>
      <w:i w:val="false"/>
      <w:iCs w:val="false"/>
      <w:color w:val="2F5496"/>
      <w:spacing w:val="0"/>
      <w:w w:val="100"/>
      <w:sz w:val="24"/>
      <w:szCs w:val="24"/>
      <w:lang w:val="uk-UA" w:bidi="ar-SA"/>
    </w:rPr>
  </w:style>
  <w:style w:type="character" w:styleId="WW8Num5z1">
    <w:name w:val="WW8Num5z1"/>
    <w:qFormat/>
    <w:rPr>
      <w:lang w:val="uk-UA" w:bidi="ar-SA"/>
    </w:rPr>
  </w:style>
  <w:style w:type="character" w:styleId="WW8Num6z0">
    <w:name w:val="WW8Num6z0"/>
    <w:qFormat/>
    <w:rPr>
      <w:rFonts w:ascii="Symbol" w:hAnsi="Symbol" w:cs="Symbol"/>
    </w:rPr>
  </w:style>
  <w:style w:type="character" w:styleId="WW8Num6z1">
    <w:name w:val="WW8Num6z1"/>
    <w:qFormat/>
    <w:rPr>
      <w:rFonts w:ascii="Times New Roman" w:hAnsi="Times New Roman" w:eastAsia="Times New Roman" w:cs="Times New Roman"/>
    </w:rPr>
  </w:style>
  <w:style w:type="character" w:styleId="WW8Num6z2">
    <w:name w:val="WW8Num6z2"/>
    <w:qFormat/>
    <w:rPr>
      <w:rFonts w:ascii="Wingdings" w:hAnsi="Wingdings" w:cs="Wingdings"/>
    </w:rPr>
  </w:style>
  <w:style w:type="character" w:styleId="WW8Num6z4">
    <w:name w:val="WW8Num6z4"/>
    <w:qFormat/>
    <w:rPr>
      <w:rFonts w:ascii="Courier New" w:hAnsi="Courier New" w:cs="Courier New"/>
    </w:rPr>
  </w:style>
  <w:style w:type="character" w:styleId="Style14">
    <w:name w:val="Шрифт абзацу за замовчуванням"/>
    <w:qFormat/>
    <w:rPr/>
  </w:style>
  <w:style w:type="character" w:styleId="Hyperlink">
    <w:name w:val="Hyperlink"/>
    <w:rPr>
      <w:color w:val="0000FF"/>
      <w:u w:val="single"/>
    </w:rPr>
  </w:style>
  <w:style w:type="paragraph" w:styleId="Heading">
    <w:name w:val="Heading"/>
    <w:basedOn w:val="Normal"/>
    <w:next w:val="BodyText"/>
    <w:qFormat/>
    <w:pPr>
      <w:keepNext w:val="true"/>
      <w:spacing w:before="240" w:after="120"/>
    </w:pPr>
    <w:rPr>
      <w:rFonts w:ascii="Liberation Sans" w:hAnsi="Liberation Sans" w:eastAsia="Noto Sans CJK SC" w:cs="Free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rFonts w:cs="FreeSans"/>
    </w:rPr>
  </w:style>
  <w:style w:type="paragraph" w:styleId="Style15">
    <w:name w:val="Звичайний (веб)"/>
    <w:basedOn w:val="Normal"/>
    <w:qFormat/>
    <w:pPr>
      <w:spacing w:lineRule="auto" w:line="240" w:before="280" w:after="280"/>
    </w:pPr>
    <w:rPr>
      <w:rFonts w:ascii="Times New Roman" w:hAnsi="Times New Roman" w:eastAsia="Times New Roman" w:cs="Times New Roman"/>
      <w:sz w:val="24"/>
      <w:szCs w:val="24"/>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mailto:pharmacy@vnmu.edu.ua" TargetMode="External"/><Relationship Id="rId4" Type="http://schemas.openxmlformats.org/officeDocument/2006/relationships/hyperlink" Target="http://www.vnmu.edu.ua/" TargetMode="External"/><Relationship Id="rId5" Type="http://schemas.openxmlformats.org/officeDocument/2006/relationships/hyperlink" Target="https://www.vnmu.edu.ua/downloads/other/polog_organiz_ocv_proc(2026).pdf" TargetMode="External"/><Relationship Id="rId6" Type="http://schemas.openxmlformats.org/officeDocument/2006/relationships/hyperlink" Target="https://www.vnmu.edu.ua/downloads/other/polog_organiz_ocv_proc(2026).pdf" TargetMode="External"/><Relationship Id="rId7" Type="http://schemas.openxmlformats.org/officeDocument/2006/relationships/hyperlink" Target="https://www.vnmu.edu.ua/downloads/other/polog_organiz_ocv_proc(2026).pdf" TargetMode="External"/><Relationship Id="rId8" Type="http://schemas.openxmlformats.org/officeDocument/2006/relationships/hyperlink" Target="https://www.vnmu.edu.ua/downloads/other/polog_organiz_ocv_proc(2026).pdf" TargetMode="External"/><Relationship Id="rId9" Type="http://schemas.openxmlformats.org/officeDocument/2006/relationships/hyperlink" Target="https://www.vnmu.edu.ua/downloads/other/pologPhD_org.pdf" TargetMode="External"/><Relationship Id="rId10" Type="http://schemas.openxmlformats.org/officeDocument/2006/relationships/hyperlink" Target="https://www.vnmu.edu.ua/downloads/other/kodex_akad_dobr_edit%202026.pdf" TargetMode="External"/><Relationship Id="rId11" Type="http://schemas.openxmlformats.org/officeDocument/2006/relationships/hyperlink" Target="https://www.vnmu.edu.ua/" TargetMode="External"/><Relationship Id="rId12" Type="http://schemas.openxmlformats.org/officeDocument/2006/relationships/hyperlink" Target="https://www.vnmu.edu.ua/downloads/other/polog_organiz_ocv_proc(2026).pdf" TargetMode="External"/><Relationship Id="rId13" Type="http://schemas.openxmlformats.org/officeDocument/2006/relationships/hyperlink" Target="https://www.vnmu.edu.ua/" TargetMode="External"/><Relationship Id="rId14" Type="http://schemas.openxmlformats.org/officeDocument/2006/relationships/hyperlink" Target="https://www.vnmu.edu.ua/downloads/other/polog_organiz_ocv_proc(2026).pdf" TargetMode="External"/><Relationship Id="rId15" Type="http://schemas.openxmlformats.org/officeDocument/2006/relationships/hyperlink" Target="https://www.vnmu.edu.ua/downloads/other/polog_organiz_ocv_proc(2026).pdf" TargetMode="External"/><Relationship Id="rId16" Type="http://schemas.openxmlformats.org/officeDocument/2006/relationships/hyperlink" Target="https://www.vnmu.edu.ua/downloads/other/polog_organiz_ocv_proc(2026).pdf" TargetMode="External"/><Relationship Id="rId17" Type="http://schemas.openxmlformats.org/officeDocument/2006/relationships/hyperlink" Target="https://www.vnmu.edu.ua/&#1047;&#1072;&#1075;&#1072;&#1083;&#1100;&#1085;&#1072;" TargetMode="External"/><Relationship Id="rId18" Type="http://schemas.openxmlformats.org/officeDocument/2006/relationships/hyperlink" Target="https://www.vnmu.edu.ua/%20&#1047;&#1072;&#1075;&#1072;&#1083;&#1100;&#1085;&#1072;" TargetMode="External"/><Relationship Id="rId19" Type="http://schemas.openxmlformats.org/officeDocument/2006/relationships/hyperlink" Target="https://www.vnmu.edu.ua/%20" TargetMode="External"/><Relationship Id="rId20" Type="http://schemas.openxmlformats.org/officeDocument/2006/relationships/hyperlink" Target="https://www.vnmu.edu.ua/&#1082;&#1072;&#1092;&#1077;&#1076;&#1088;&#1072;" TargetMode="External"/><Relationship Id="rId21" Type="http://schemas.openxmlformats.org/officeDocument/2006/relationships/hyperlink" Target="https://zakon.rada.gov.ua/go/v0007282-22" TargetMode="External"/><Relationship Id="rId22" Type="http://schemas.openxmlformats.org/officeDocument/2006/relationships/hyperlink" Target="https://moz.gov.ua/uploads/7/35237-dn_7_05_01_2022_dod.pdf" TargetMode="External"/><Relationship Id="rId23" Type="http://schemas.openxmlformats.org/officeDocument/2006/relationships/hyperlink" Target="https://zakon.rada.gov.ua/go/2469-20" TargetMode="External"/><Relationship Id="rId24" Type="http://schemas.openxmlformats.org/officeDocument/2006/relationships/hyperlink" Target="https://doi.org/10.1007/s11096-022-01422-7" TargetMode="External"/><Relationship Id="rId25" Type="http://schemas.openxmlformats.org/officeDocument/2006/relationships/hyperlink" Target="http://vnmu.edu.ua/" TargetMode="External"/><Relationship Id="rId26" Type="http://schemas.openxmlformats.org/officeDocument/2006/relationships/hyperlink" Target="https://www.vnmu.edu.ua/&#1082;&#1072;&#1092;&#1077;&#1076;&#1088;&#1072;" TargetMode="External"/><Relationship Id="rId27" Type="http://schemas.openxmlformats.org/officeDocument/2006/relationships/hyperlink" Target="http://www.library.vnmu.edu.ua/" TargetMode="External"/><Relationship Id="rId28" Type="http://schemas.openxmlformats.org/officeDocument/2006/relationships/hyperlink" Target="http://www.library.gov.ua/" TargetMode="External"/><Relationship Id="rId29" Type="http://schemas.openxmlformats.org/officeDocument/2006/relationships/hyperlink" Target="http://www.who.int/en/" TargetMode="External"/><Relationship Id="rId30" Type="http://schemas.openxmlformats.org/officeDocument/2006/relationships/hyperlink" Target="https://moz.gov.ua/" TargetMode="External"/><Relationship Id="rId31" Type="http://schemas.openxmlformats.org/officeDocument/2006/relationships/hyperlink" Target="https://phc.org.ua/kontrol-zakhvoryuvan" TargetMode="External"/><Relationship Id="rId32" Type="http://schemas.openxmlformats.org/officeDocument/2006/relationships/hyperlink" Target="http://www.pubmed.com/" TargetMode="External"/><Relationship Id="rId33" Type="http://schemas.openxmlformats.org/officeDocument/2006/relationships/hyperlink" Target="https://emedicine.medscape.com/pulmology" TargetMode="External"/><Relationship Id="rId34" Type="http://schemas.openxmlformats.org/officeDocument/2006/relationships/hyperlink" Target="https://www.dec.gov.ua/cat_mtd/galuzevi-standarti-ta-klinichni-nastanovi/" TargetMode="External"/><Relationship Id="rId35" Type="http://schemas.openxmlformats.org/officeDocument/2006/relationships/hyperlink" Target="http://www.drlz.gov.ua/" TargetMode="External"/><Relationship Id="rId36" Type="http://schemas.openxmlformats.org/officeDocument/2006/relationships/hyperlink" Target="https://www.ncbi.nlm.nih.gov/books/NBK430685/" TargetMode="External"/><Relationship Id="rId37" Type="http://schemas.openxmlformats.org/officeDocument/2006/relationships/hyperlink" Target="https://youtube.com/@osmosis?si=wfGd7KFtq5yMhsta" TargetMode="External"/><Relationship Id="rId38" Type="http://schemas.openxmlformats.org/officeDocument/2006/relationships/hyperlink" Target="http://www.evidence-update.ua/" TargetMode="External"/><Relationship Id="rId39" Type="http://schemas.openxmlformats.org/officeDocument/2006/relationships/hyperlink" Target="http://www.pharmgkb.org/" TargetMode="External"/><Relationship Id="rId40" Type="http://schemas.openxmlformats.org/officeDocument/2006/relationships/hyperlink" Target="https://www.accessdata.fda.gov/scripts/medwatch/medwatch-online.htm" TargetMode="External"/><Relationship Id="rId41" Type="http://schemas.openxmlformats.org/officeDocument/2006/relationships/hyperlink" Target="http://guidelines.moz.gov/" TargetMode="External"/><Relationship Id="rId42" Type="http://schemas.openxmlformats.org/officeDocument/2006/relationships/hyperlink" Target="https://www.dynamed.com/drug-interactions" TargetMode="External"/><Relationship Id="rId43" Type="http://schemas.openxmlformats.org/officeDocument/2006/relationships/numbering" Target="numbering.xml"/><Relationship Id="rId44" Type="http://schemas.openxmlformats.org/officeDocument/2006/relationships/fontTable" Target="fontTable.xml"/><Relationship Id="rId45" Type="http://schemas.openxmlformats.org/officeDocument/2006/relationships/settings" Target="settings.xml"/><Relationship Id="rId4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27</TotalTime>
  <Application>LibreOffice/24.2.7.2$Linux_X86_64 LibreOffice_project/420$Build-2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2026-09-18T09:26:00Z</dcterms:created>
  <dc:creator>user</dc:creator>
  <dc:description/>
  <cp:keywords/>
  <dc:language>en-US</dc:language>
  <cp:lastModifiedBy>Alona Voronkina</cp:lastModifiedBy>
  <dcterms:modified xsi:type="dcterms:W3CDTF">2026-10-27T23:26:00Z</dcterms:modified>
  <cp:revision>2</cp:revision>
  <dc:subject/>
  <dc:title/>
</cp:coreProperties>
</file>