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160A" w:rsidRDefault="0087327D">
      <w:pPr>
        <w:spacing w:before="100" w:beforeAutospacing="1" w:after="100" w:afterAutospacing="1" w:line="240" w:lineRule="auto"/>
        <w:jc w:val="center"/>
        <w:rPr>
          <w:rFonts w:ascii="Times New Roman" w:eastAsia="Times New Roman" w:hAnsi="Times New Roman" w:cs="Times New Roman"/>
          <w:b/>
          <w:bCs/>
          <w:sz w:val="24"/>
          <w:szCs w:val="24"/>
          <w:lang w:val="en-US" w:eastAsia="ru-RU"/>
        </w:rPr>
      </w:pPr>
      <w:r>
        <w:rPr>
          <w:rFonts w:ascii="Times New Roman" w:eastAsia="Times New Roman" w:hAnsi="Times New Roman" w:cs="Times New Roman"/>
          <w:noProof/>
          <w:sz w:val="24"/>
          <w:szCs w:val="24"/>
          <w:lang w:val="en-US"/>
        </w:rPr>
        <w:drawing>
          <wp:anchor distT="0" distB="0" distL="0" distR="0" simplePos="0" relativeHeight="251659264" behindDoc="0" locked="0" layoutInCell="1" allowOverlap="1">
            <wp:simplePos x="0" y="0"/>
            <wp:positionH relativeFrom="page">
              <wp:posOffset>817245</wp:posOffset>
            </wp:positionH>
            <wp:positionV relativeFrom="paragraph">
              <wp:posOffset>0</wp:posOffset>
            </wp:positionV>
            <wp:extent cx="647700" cy="876300"/>
            <wp:effectExtent l="0" t="0" r="0" b="0"/>
            <wp:wrapNone/>
            <wp:docPr id="6" name="Рисунок 6"/>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47700" cy="876300"/>
                    </a:xfrm>
                    <a:prstGeom prst="rect">
                      <a:avLst/>
                    </a:prstGeom>
                    <a:noFill/>
                    <a:ln>
                      <a:noFill/>
                    </a:ln>
                  </pic:spPr>
                </pic:pic>
              </a:graphicData>
            </a:graphic>
          </wp:anchor>
        </w:drawing>
      </w:r>
      <w:r>
        <w:rPr>
          <w:rFonts w:ascii="Times New Roman" w:eastAsia="Times New Roman" w:hAnsi="Times New Roman" w:cs="Times New Roman"/>
          <w:b/>
          <w:bCs/>
          <w:sz w:val="24"/>
          <w:szCs w:val="24"/>
          <w:lang w:val="en-US" w:eastAsia="ru-RU"/>
        </w:rPr>
        <w:t>NATIONAL PIROGOV MEMORIAL MEDICAL UNIVERSITY, VINNYTSIA</w:t>
      </w:r>
    </w:p>
    <w:p w:rsidR="0059160A" w:rsidRDefault="0059160A">
      <w:pPr>
        <w:spacing w:before="100" w:beforeAutospacing="1" w:after="100" w:afterAutospacing="1" w:line="240" w:lineRule="auto"/>
        <w:jc w:val="center"/>
        <w:rPr>
          <w:rFonts w:ascii="Times New Roman" w:eastAsia="Times New Roman" w:hAnsi="Times New Roman" w:cs="Times New Roman"/>
          <w:b/>
          <w:bCs/>
          <w:kern w:val="36"/>
          <w:sz w:val="24"/>
          <w:szCs w:val="24"/>
          <w:lang w:val="en-US" w:eastAsia="ru-RU"/>
        </w:rPr>
      </w:pPr>
    </w:p>
    <w:p w:rsidR="0059160A" w:rsidRDefault="0059160A">
      <w:pPr>
        <w:spacing w:before="100" w:beforeAutospacing="1" w:after="100" w:afterAutospacing="1" w:line="240" w:lineRule="auto"/>
        <w:jc w:val="center"/>
        <w:rPr>
          <w:rFonts w:ascii="Times New Roman" w:eastAsia="Times New Roman" w:hAnsi="Times New Roman" w:cs="Times New Roman"/>
          <w:b/>
          <w:bCs/>
          <w:kern w:val="36"/>
          <w:sz w:val="24"/>
          <w:szCs w:val="24"/>
          <w:lang w:val="en-US" w:eastAsia="ru-RU"/>
        </w:rPr>
      </w:pPr>
    </w:p>
    <w:p w:rsidR="0059160A" w:rsidRDefault="0059160A">
      <w:pPr>
        <w:spacing w:before="100" w:beforeAutospacing="1" w:after="100" w:afterAutospacing="1" w:line="240" w:lineRule="auto"/>
        <w:jc w:val="center"/>
        <w:rPr>
          <w:rFonts w:ascii="Times New Roman" w:eastAsia="Times New Roman" w:hAnsi="Times New Roman" w:cs="Times New Roman"/>
          <w:b/>
          <w:bCs/>
          <w:kern w:val="36"/>
          <w:sz w:val="24"/>
          <w:szCs w:val="24"/>
          <w:lang w:val="en-US" w:eastAsia="ru-RU"/>
        </w:rPr>
      </w:pPr>
    </w:p>
    <w:p w:rsidR="0059160A" w:rsidRDefault="0059160A">
      <w:pPr>
        <w:spacing w:before="100" w:beforeAutospacing="1" w:after="100" w:afterAutospacing="1" w:line="240" w:lineRule="auto"/>
        <w:jc w:val="both"/>
        <w:rPr>
          <w:rFonts w:ascii="Times New Roman" w:eastAsia="Times New Roman" w:hAnsi="Times New Roman" w:cs="Times New Roman"/>
          <w:b/>
          <w:bCs/>
          <w:kern w:val="36"/>
          <w:sz w:val="24"/>
          <w:szCs w:val="24"/>
          <w:lang w:val="en-US" w:eastAsia="ru-RU"/>
        </w:rPr>
      </w:pPr>
    </w:p>
    <w:p w:rsidR="0059160A" w:rsidRDefault="0087327D">
      <w:pPr>
        <w:pStyle w:val="2"/>
        <w:keepLines w:val="0"/>
        <w:shd w:val="clear" w:color="auto" w:fill="FFFFFF"/>
        <w:spacing w:before="0"/>
        <w:jc w:val="center"/>
        <w:rPr>
          <w:rFonts w:ascii="Times New Roman" w:eastAsia="Times New Roman" w:hAnsi="Times New Roman" w:cs="Times New Roman"/>
          <w:b/>
          <w:bCs/>
          <w:color w:val="auto"/>
          <w:sz w:val="28"/>
          <w:szCs w:val="28"/>
          <w:lang w:eastAsia="ru-RU"/>
        </w:rPr>
      </w:pPr>
      <w:r>
        <w:rPr>
          <w:rFonts w:ascii="Times New Roman" w:eastAsia="Times New Roman" w:hAnsi="Times New Roman" w:cs="Times New Roman"/>
          <w:b/>
          <w:bCs/>
          <w:color w:val="auto"/>
          <w:sz w:val="24"/>
          <w:szCs w:val="28"/>
          <w:lang w:eastAsia="ru-RU"/>
        </w:rPr>
        <w:t>COURSE SYLLABUS</w:t>
      </w:r>
    </w:p>
    <w:p w:rsidR="0059160A" w:rsidRDefault="0059160A">
      <w:pPr>
        <w:spacing w:before="100" w:beforeAutospacing="1" w:after="100" w:afterAutospacing="1" w:line="240" w:lineRule="auto"/>
        <w:jc w:val="center"/>
        <w:rPr>
          <w:rFonts w:ascii="Times New Roman" w:eastAsia="Times New Roman" w:hAnsi="Times New Roman" w:cs="Times New Roman"/>
          <w:b/>
          <w:bCs/>
          <w:kern w:val="36"/>
          <w:sz w:val="24"/>
          <w:szCs w:val="24"/>
          <w:lang w:val="en-US" w:eastAsia="ru-RU"/>
        </w:rPr>
      </w:pPr>
    </w:p>
    <w:p w:rsidR="0059160A" w:rsidRDefault="0059160A">
      <w:pPr>
        <w:spacing w:before="100" w:beforeAutospacing="1" w:after="100" w:afterAutospacing="1" w:line="240" w:lineRule="auto"/>
        <w:jc w:val="center"/>
        <w:rPr>
          <w:rFonts w:ascii="Times New Roman" w:eastAsia="Times New Roman" w:hAnsi="Times New Roman" w:cs="Times New Roman"/>
          <w:b/>
          <w:bCs/>
          <w:kern w:val="36"/>
          <w:sz w:val="24"/>
          <w:szCs w:val="24"/>
          <w:lang w:val="en-US" w:eastAsia="ru-RU"/>
        </w:rPr>
      </w:pPr>
    </w:p>
    <w:p w:rsidR="0059160A" w:rsidRDefault="0087327D">
      <w:pPr>
        <w:shd w:val="clear" w:color="auto" w:fill="FFFFFF"/>
        <w:spacing w:after="0" w:line="240" w:lineRule="auto"/>
        <w:rPr>
          <w:rFonts w:ascii="Times New Roman" w:eastAsia="Times New Roman" w:hAnsi="Times New Roman" w:cs="Times New Roman"/>
          <w:b/>
          <w:bCs/>
          <w:sz w:val="24"/>
          <w:szCs w:val="24"/>
          <w:lang w:val="ru-RU" w:eastAsia="ru-RU"/>
        </w:rPr>
      </w:pPr>
      <w:r>
        <w:rPr>
          <w:rFonts w:ascii="Times New Roman" w:eastAsia="Times New Roman" w:hAnsi="Times New Roman" w:cs="Times New Roman"/>
          <w:b/>
          <w:bCs/>
          <w:sz w:val="24"/>
          <w:szCs w:val="24"/>
          <w:lang w:val="ru-RU" w:eastAsia="ru-RU"/>
        </w:rPr>
        <w:t>Academic discipline for Master’s degree training:</w:t>
      </w:r>
    </w:p>
    <w:p w:rsidR="008A6A9D" w:rsidRPr="008A6A9D" w:rsidRDefault="008A6A9D" w:rsidP="008A6A9D">
      <w:pPr>
        <w:spacing w:after="0" w:line="240" w:lineRule="auto"/>
        <w:rPr>
          <w:rFonts w:ascii="Times New Roman" w:eastAsia="MS Mincho" w:hAnsi="Times New Roman" w:cs="Times New Roman"/>
          <w:b/>
          <w:bCs/>
          <w:sz w:val="24"/>
          <w:szCs w:val="24"/>
          <w:u w:val="single"/>
        </w:rPr>
      </w:pPr>
      <w:bookmarkStart w:id="0" w:name="_Hlk243915951"/>
      <w:r w:rsidRPr="008A6A9D">
        <w:rPr>
          <w:rFonts w:ascii="Times New Roman" w:eastAsia="MS Mincho" w:hAnsi="Times New Roman" w:cs="Times New Roman"/>
          <w:b/>
          <w:bCs/>
          <w:sz w:val="24"/>
          <w:szCs w:val="24"/>
          <w:u w:val="single"/>
        </w:rPr>
        <w:t>manufacturing practice for specialization</w:t>
      </w:r>
    </w:p>
    <w:p w:rsidR="008A6A9D" w:rsidRPr="008A6A9D" w:rsidRDefault="008A6A9D" w:rsidP="008A6A9D">
      <w:pPr>
        <w:spacing w:after="0" w:line="240" w:lineRule="auto"/>
        <w:rPr>
          <w:rFonts w:ascii="Times New Roman" w:eastAsia="MS Mincho" w:hAnsi="Times New Roman" w:cs="Times New Roman"/>
          <w:b/>
          <w:bCs/>
          <w:sz w:val="24"/>
          <w:szCs w:val="24"/>
          <w:u w:val="single"/>
        </w:rPr>
      </w:pPr>
      <w:r w:rsidRPr="008A6A9D">
        <w:rPr>
          <w:rFonts w:ascii="Times New Roman" w:eastAsia="MS Mincho" w:hAnsi="Times New Roman" w:cs="Times New Roman"/>
          <w:b/>
          <w:bCs/>
          <w:sz w:val="24"/>
          <w:szCs w:val="24"/>
          <w:u w:val="single"/>
        </w:rPr>
        <w:t>«Practice in the organization and economy of pharmacy»</w:t>
      </w:r>
    </w:p>
    <w:p w:rsidR="0059160A" w:rsidRDefault="0087327D">
      <w:pPr>
        <w:spacing w:after="0" w:line="240" w:lineRule="auto"/>
        <w:rPr>
          <w:rFonts w:ascii="Times New Roman" w:eastAsia="Times New Roman" w:hAnsi="Times New Roman" w:cs="Times New Roman"/>
          <w:color w:val="0000FF"/>
          <w:sz w:val="24"/>
          <w:szCs w:val="24"/>
          <w:lang w:val="en-US" w:eastAsia="ru-RU"/>
        </w:rPr>
      </w:pPr>
      <w:r>
        <w:rPr>
          <w:rFonts w:ascii="Times New Roman" w:eastAsia="Times New Roman" w:hAnsi="Times New Roman" w:cs="Times New Roman"/>
          <w:b/>
          <w:bCs/>
          <w:sz w:val="24"/>
          <w:szCs w:val="24"/>
          <w:u w:val="single"/>
          <w:lang w:eastAsia="ru-RU"/>
        </w:rPr>
        <w:t xml:space="preserve"> </w:t>
      </w:r>
      <w:r>
        <w:rPr>
          <w:rFonts w:ascii="Times New Roman" w:eastAsia="Times New Roman" w:hAnsi="Times New Roman" w:cs="Times New Roman"/>
          <w:sz w:val="24"/>
          <w:szCs w:val="24"/>
          <w:lang w:val="en-US" w:eastAsia="ru-RU"/>
        </w:rPr>
        <w:br/>
      </w:r>
      <w:bookmarkEnd w:id="0"/>
    </w:p>
    <w:tbl>
      <w:tblPr>
        <w:tblW w:w="981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70"/>
        <w:gridCol w:w="6442"/>
      </w:tblGrid>
      <w:tr w:rsidR="0059160A">
        <w:trPr>
          <w:trHeight w:val="283"/>
          <w:tblHeader/>
          <w:tblCellSpacing w:w="15" w:type="dxa"/>
        </w:trPr>
        <w:tc>
          <w:tcPr>
            <w:tcW w:w="3325" w:type="dxa"/>
            <w:vAlign w:val="center"/>
          </w:tcPr>
          <w:p w:rsidR="0059160A" w:rsidRDefault="0087327D">
            <w:pPr>
              <w:spacing w:after="0" w:line="240" w:lineRule="auto"/>
              <w:jc w:val="both"/>
              <w:rPr>
                <w:rFonts w:ascii="Times New Roman" w:eastAsia="Times New Roman" w:hAnsi="Times New Roman" w:cs="Times New Roman"/>
                <w:b/>
                <w:bCs/>
                <w:sz w:val="24"/>
                <w:szCs w:val="24"/>
                <w:lang w:val="ru-RU" w:eastAsia="ru-RU"/>
              </w:rPr>
            </w:pPr>
            <w:r>
              <w:rPr>
                <w:rFonts w:ascii="Times New Roman" w:eastAsia="Times New Roman" w:hAnsi="Times New Roman" w:cs="Times New Roman"/>
                <w:b/>
                <w:bCs/>
                <w:sz w:val="24"/>
                <w:szCs w:val="24"/>
                <w:lang w:val="ru-RU" w:eastAsia="ru-RU"/>
              </w:rPr>
              <w:t>Specialty</w:t>
            </w:r>
          </w:p>
        </w:tc>
        <w:tc>
          <w:tcPr>
            <w:tcW w:w="6397" w:type="dxa"/>
            <w:vAlign w:val="center"/>
          </w:tcPr>
          <w:p w:rsidR="0059160A" w:rsidRDefault="0087327D">
            <w:pPr>
              <w:spacing w:after="0" w:line="240" w:lineRule="auto"/>
              <w:rPr>
                <w:rFonts w:ascii="Times New Roman" w:eastAsia="Times New Roman" w:hAnsi="Times New Roman" w:cs="Times New Roman"/>
                <w:b/>
                <w:bCs/>
                <w:sz w:val="24"/>
                <w:szCs w:val="24"/>
                <w:lang w:val="ru-RU" w:eastAsia="ru-RU"/>
              </w:rPr>
            </w:pPr>
            <w:r>
              <w:rPr>
                <w:rFonts w:ascii="Times New Roman" w:eastAsia="Times New Roman" w:hAnsi="Times New Roman" w:cs="Times New Roman"/>
                <w:sz w:val="24"/>
                <w:szCs w:val="24"/>
                <w:lang w:val="ru-RU" w:eastAsia="ru-RU"/>
              </w:rPr>
              <w:t xml:space="preserve">226 Pharmacy, Industrial Pharmacy </w:t>
            </w:r>
          </w:p>
        </w:tc>
      </w:tr>
      <w:tr w:rsidR="0059160A">
        <w:trPr>
          <w:trHeight w:val="27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Educational Programme</w:t>
            </w:r>
          </w:p>
        </w:tc>
        <w:tc>
          <w:tcPr>
            <w:tcW w:w="6397"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 xml:space="preserve">EPP </w:t>
            </w:r>
            <w:r>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val="ru-RU" w:eastAsia="ru-RU"/>
              </w:rPr>
              <w:t>Pharmacy</w:t>
            </w:r>
            <w:r>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val="ru-RU" w:eastAsia="ru-RU"/>
              </w:rPr>
              <w:t xml:space="preserve"> (</w:t>
            </w:r>
            <w:r>
              <w:rPr>
                <w:rFonts w:ascii="Times New Roman" w:eastAsia="Times New Roman" w:hAnsi="Times New Roman" w:cs="Times New Roman"/>
                <w:b/>
                <w:bCs/>
                <w:sz w:val="24"/>
                <w:szCs w:val="24"/>
                <w:lang w:val="en-US" w:eastAsia="ru-RU"/>
              </w:rPr>
              <w:t>2023</w:t>
            </w:r>
            <w:r>
              <w:rPr>
                <w:rFonts w:ascii="Times New Roman" w:eastAsia="Times New Roman" w:hAnsi="Times New Roman" w:cs="Times New Roman"/>
                <w:b/>
                <w:bCs/>
                <w:sz w:val="24"/>
                <w:szCs w:val="24"/>
                <w:lang w:val="ru-RU" w:eastAsia="ru-RU"/>
              </w:rPr>
              <w:t>)</w:t>
            </w:r>
          </w:p>
        </w:tc>
      </w:tr>
      <w:tr w:rsidR="0059160A">
        <w:trPr>
          <w:trHeight w:val="28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Higher Education Level</w:t>
            </w:r>
          </w:p>
        </w:tc>
        <w:tc>
          <w:tcPr>
            <w:tcW w:w="6397"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Second (Master’s)</w:t>
            </w:r>
          </w:p>
        </w:tc>
      </w:tr>
      <w:tr w:rsidR="0059160A">
        <w:trPr>
          <w:trHeight w:val="28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Academic Year</w:t>
            </w:r>
          </w:p>
        </w:tc>
        <w:tc>
          <w:tcPr>
            <w:tcW w:w="6397"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hAnsi="Times New Roman" w:cs="Times New Roman"/>
                <w:color w:val="000000"/>
                <w:sz w:val="24"/>
                <w:szCs w:val="24"/>
              </w:rPr>
              <w:t>2026-2027</w:t>
            </w:r>
          </w:p>
        </w:tc>
      </w:tr>
      <w:tr w:rsidR="0059160A">
        <w:trPr>
          <w:trHeight w:val="27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Status of the Discipline</w:t>
            </w:r>
          </w:p>
        </w:tc>
        <w:tc>
          <w:tcPr>
            <w:tcW w:w="6397"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Mandatory </w:t>
            </w:r>
          </w:p>
        </w:tc>
      </w:tr>
      <w:tr w:rsidR="0059160A">
        <w:trPr>
          <w:trHeight w:val="27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Language of Instruction</w:t>
            </w:r>
          </w:p>
        </w:tc>
        <w:tc>
          <w:tcPr>
            <w:tcW w:w="6397" w:type="dxa"/>
            <w:vAlign w:val="center"/>
          </w:tcPr>
          <w:p w:rsidR="0059160A" w:rsidRDefault="0087327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ru-RU" w:eastAsia="ru-RU"/>
              </w:rPr>
              <w:t>Ukrainian / English</w:t>
            </w:r>
          </w:p>
        </w:tc>
      </w:tr>
      <w:tr w:rsidR="0059160A">
        <w:trPr>
          <w:trHeight w:val="28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Total Workload</w:t>
            </w:r>
          </w:p>
        </w:tc>
        <w:tc>
          <w:tcPr>
            <w:tcW w:w="6397"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w:t>
            </w:r>
            <w:r w:rsidR="008A6A9D">
              <w:rPr>
                <w:rFonts w:ascii="Times New Roman" w:eastAsia="Times New Roman" w:hAnsi="Times New Roman" w:cs="Times New Roman"/>
                <w:sz w:val="24"/>
                <w:szCs w:val="24"/>
                <w:lang w:val="ru-RU" w:eastAsia="ru-RU"/>
              </w:rPr>
              <w:t>4</w:t>
            </w:r>
            <w:r>
              <w:rPr>
                <w:rFonts w:ascii="Times New Roman" w:hAnsi="Times New Roman" w:cs="Times New Roman"/>
                <w:sz w:val="24"/>
                <w:szCs w:val="24"/>
              </w:rPr>
              <w:t>,5</w:t>
            </w:r>
            <w:r>
              <w:rPr>
                <w:rFonts w:ascii="Times New Roman" w:eastAsia="Times New Roman" w:hAnsi="Times New Roman" w:cs="Times New Roman"/>
                <w:sz w:val="24"/>
                <w:szCs w:val="24"/>
                <w:lang w:val="ru-RU" w:eastAsia="ru-RU"/>
              </w:rPr>
              <w:t xml:space="preserve"> of ECTS credits)</w:t>
            </w:r>
          </w:p>
        </w:tc>
      </w:tr>
      <w:tr w:rsidR="0059160A">
        <w:trPr>
          <w:trHeight w:val="283"/>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Year of Study / Semester</w:t>
            </w:r>
          </w:p>
        </w:tc>
        <w:tc>
          <w:tcPr>
            <w:tcW w:w="6397" w:type="dxa"/>
            <w:vAlign w:val="center"/>
          </w:tcPr>
          <w:p w:rsidR="008A6A9D" w:rsidRPr="008A6A9D" w:rsidRDefault="008A6A9D" w:rsidP="008A6A9D">
            <w:pPr>
              <w:spacing w:after="0" w:line="240" w:lineRule="auto"/>
              <w:rPr>
                <w:rFonts w:ascii="Times New Roman" w:hAnsi="Times New Roman" w:cs="Times New Roman"/>
                <w:sz w:val="24"/>
                <w:szCs w:val="24"/>
                <w:lang w:val="en-US"/>
              </w:rPr>
            </w:pPr>
            <w:r w:rsidRPr="008A6A9D">
              <w:rPr>
                <w:rFonts w:ascii="Times New Roman" w:hAnsi="Times New Roman" w:cs="Times New Roman"/>
                <w:sz w:val="24"/>
                <w:szCs w:val="24"/>
                <w:lang w:val="en-US"/>
              </w:rPr>
              <w:t>V / ІX (full-time form of study)</w:t>
            </w:r>
          </w:p>
          <w:p w:rsidR="0059160A" w:rsidRPr="008A6A9D" w:rsidRDefault="008A6A9D" w:rsidP="008A6A9D">
            <w:pPr>
              <w:spacing w:after="0" w:line="240" w:lineRule="auto"/>
              <w:rPr>
                <w:rFonts w:ascii="Times New Roman" w:eastAsia="Times New Roman" w:hAnsi="Times New Roman" w:cs="Times New Roman"/>
                <w:sz w:val="24"/>
                <w:szCs w:val="24"/>
                <w:lang w:eastAsia="ru-RU"/>
              </w:rPr>
            </w:pPr>
            <w:r w:rsidRPr="008A6A9D">
              <w:rPr>
                <w:rFonts w:ascii="Times New Roman" w:hAnsi="Times New Roman" w:cs="Times New Roman"/>
                <w:sz w:val="24"/>
                <w:szCs w:val="24"/>
                <w:lang w:val="en-US"/>
              </w:rPr>
              <w:t xml:space="preserve">VІ / XІ </w:t>
            </w:r>
            <w:r>
              <w:rPr>
                <w:rFonts w:ascii="Times New Roman" w:hAnsi="Times New Roman" w:cs="Times New Roman"/>
                <w:sz w:val="24"/>
                <w:szCs w:val="24"/>
              </w:rPr>
              <w:t>(</w:t>
            </w:r>
            <w:r w:rsidRPr="008A6A9D">
              <w:rPr>
                <w:rFonts w:ascii="Times New Roman" w:hAnsi="Times New Roman" w:cs="Times New Roman"/>
                <w:sz w:val="24"/>
                <w:szCs w:val="24"/>
                <w:lang w:val="en-US"/>
              </w:rPr>
              <w:t>part-time form of study</w:t>
            </w:r>
            <w:r>
              <w:rPr>
                <w:rFonts w:ascii="Times New Roman" w:hAnsi="Times New Roman" w:cs="Times New Roman"/>
                <w:sz w:val="24"/>
                <w:szCs w:val="24"/>
              </w:rPr>
              <w:t>)</w:t>
            </w:r>
          </w:p>
        </w:tc>
      </w:tr>
      <w:tr w:rsidR="008A6A9D">
        <w:trPr>
          <w:trHeight w:val="283"/>
          <w:tblCellSpacing w:w="15" w:type="dxa"/>
        </w:trPr>
        <w:tc>
          <w:tcPr>
            <w:tcW w:w="3325" w:type="dxa"/>
            <w:vAlign w:val="center"/>
          </w:tcPr>
          <w:p w:rsidR="008A6A9D" w:rsidRDefault="008A6A9D" w:rsidP="008A6A9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Developer</w:t>
            </w:r>
          </w:p>
        </w:tc>
        <w:tc>
          <w:tcPr>
            <w:tcW w:w="6397" w:type="dxa"/>
            <w:vAlign w:val="center"/>
          </w:tcPr>
          <w:p w:rsidR="008A6A9D" w:rsidRPr="006E0763" w:rsidRDefault="008A6A9D" w:rsidP="008A6A9D">
            <w:pPr>
              <w:snapToGrid w:val="0"/>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rPr>
              <w:t xml:space="preserve">O. Kohut, </w:t>
            </w:r>
            <w:r w:rsidRPr="006E0763">
              <w:rPr>
                <w:rFonts w:ascii="Times New Roman" w:eastAsia="Times New Roman" w:hAnsi="Times New Roman" w:cs="Times New Roman"/>
                <w:sz w:val="24"/>
                <w:szCs w:val="24"/>
                <w:lang w:val="en-US"/>
              </w:rPr>
              <w:t>Associate Professor, Candidate of Pharmaceutical Sciences</w:t>
            </w:r>
          </w:p>
        </w:tc>
      </w:tr>
      <w:tr w:rsidR="008A6A9D">
        <w:trPr>
          <w:trHeight w:val="283"/>
          <w:tblCellSpacing w:w="15" w:type="dxa"/>
        </w:trPr>
        <w:tc>
          <w:tcPr>
            <w:tcW w:w="3325" w:type="dxa"/>
            <w:vAlign w:val="center"/>
          </w:tcPr>
          <w:p w:rsidR="008A6A9D" w:rsidRDefault="008A6A9D" w:rsidP="008A6A9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Instructor(s), Guest Lecturers</w:t>
            </w:r>
          </w:p>
        </w:tc>
        <w:tc>
          <w:tcPr>
            <w:tcW w:w="6397" w:type="dxa"/>
            <w:vAlign w:val="center"/>
          </w:tcPr>
          <w:p w:rsidR="008A6A9D" w:rsidRDefault="008A6A9D" w:rsidP="008A6A9D">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O. Kohut, </w:t>
            </w:r>
            <w:r w:rsidRPr="006E0763">
              <w:rPr>
                <w:rFonts w:ascii="Times New Roman" w:eastAsia="Times New Roman" w:hAnsi="Times New Roman" w:cs="Times New Roman"/>
                <w:sz w:val="24"/>
                <w:szCs w:val="24"/>
                <w:lang w:val="en-US"/>
              </w:rPr>
              <w:t>Associate Professor, Candidate of Pharmaceutical Sciences</w:t>
            </w:r>
            <w:r>
              <w:rPr>
                <w:rFonts w:ascii="Times New Roman" w:eastAsia="Times New Roman" w:hAnsi="Times New Roman" w:cs="Times New Roman"/>
                <w:sz w:val="24"/>
                <w:szCs w:val="24"/>
              </w:rPr>
              <w:t>;</w:t>
            </w:r>
          </w:p>
          <w:p w:rsidR="008A6A9D" w:rsidRPr="006E0763" w:rsidRDefault="008A6A9D" w:rsidP="008A6A9D">
            <w:pPr>
              <w:snapToGrid w:val="0"/>
              <w:spacing w:after="0" w:line="240" w:lineRule="auto"/>
              <w:jc w:val="both"/>
              <w:rPr>
                <w:rFonts w:ascii="Times New Roman" w:hAnsi="Times New Roman" w:cs="Times New Roman"/>
                <w:sz w:val="24"/>
                <w:lang w:val="en-US" w:eastAsia="ru-RU"/>
              </w:rPr>
            </w:pPr>
            <w:r w:rsidRPr="006E0763">
              <w:rPr>
                <w:rFonts w:ascii="Times New Roman" w:hAnsi="Times New Roman" w:cs="Times New Roman"/>
                <w:sz w:val="24"/>
                <w:lang w:val="en-US" w:eastAsia="ru-RU"/>
              </w:rPr>
              <w:t>O. Blahun, S</w:t>
            </w:r>
            <w:r>
              <w:rPr>
                <w:rFonts w:ascii="Times New Roman" w:hAnsi="Times New Roman" w:cs="Times New Roman"/>
                <w:sz w:val="24"/>
                <w:lang w:val="en-US" w:eastAsia="ru-RU"/>
              </w:rPr>
              <w:t>up. teacher</w:t>
            </w:r>
            <w:r w:rsidRPr="006E0763">
              <w:rPr>
                <w:rFonts w:ascii="Times New Roman" w:hAnsi="Times New Roman" w:cs="Times New Roman"/>
                <w:sz w:val="24"/>
                <w:lang w:val="en-US" w:eastAsia="ru-RU"/>
              </w:rPr>
              <w:t xml:space="preserve"> </w:t>
            </w:r>
          </w:p>
        </w:tc>
      </w:tr>
      <w:tr w:rsidR="0059160A">
        <w:trPr>
          <w:trHeight w:val="655"/>
          <w:tblCellSpacing w:w="15" w:type="dxa"/>
        </w:trPr>
        <w:tc>
          <w:tcPr>
            <w:tcW w:w="3325" w:type="dxa"/>
            <w:vAlign w:val="center"/>
          </w:tcPr>
          <w:p w:rsidR="0059160A" w:rsidRDefault="0087327D">
            <w:pPr>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b/>
                <w:bCs/>
                <w:sz w:val="24"/>
                <w:szCs w:val="24"/>
                <w:lang w:val="ru-RU" w:eastAsia="ru-RU"/>
              </w:rPr>
              <w:t>Venue and Contact Details</w:t>
            </w:r>
          </w:p>
        </w:tc>
        <w:tc>
          <w:tcPr>
            <w:tcW w:w="6397" w:type="dxa"/>
            <w:vAlign w:val="center"/>
          </w:tcPr>
          <w:p w:rsidR="0059160A" w:rsidRDefault="0087327D">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hyperlink r:id="rId9">
              <w:r>
                <w:rPr>
                  <w:rStyle w:val="a9"/>
                  <w:rFonts w:cs="Times New Roman"/>
                  <w:i/>
                  <w:iCs/>
                  <w:sz w:val="24"/>
                  <w:szCs w:val="24"/>
                </w:rPr>
                <w:t>pharmacy@vnmu.edu.ua</w:t>
              </w:r>
            </w:hyperlink>
            <w:r>
              <w:rPr>
                <w:rStyle w:val="a9"/>
                <w:rFonts w:cs="Times New Roman"/>
                <w:i/>
                <w:iCs/>
                <w:sz w:val="24"/>
                <w:szCs w:val="24"/>
              </w:rPr>
              <w:t xml:space="preserve">, </w:t>
            </w:r>
            <w:r>
              <w:rPr>
                <w:rFonts w:ascii="Times New Roman" w:eastAsia="Times New Roman" w:hAnsi="Times New Roman" w:cs="Times New Roman"/>
                <w:i/>
                <w:iCs/>
                <w:color w:val="000000"/>
                <w:sz w:val="24"/>
                <w:szCs w:val="24"/>
              </w:rPr>
              <w:t>56 Pyrohova Street, Vinnytsia; tel. +380 432 55-39-52</w:t>
            </w:r>
          </w:p>
        </w:tc>
      </w:tr>
    </w:tbl>
    <w:p w:rsidR="0059160A" w:rsidRDefault="0087327D">
      <w:pP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br w:type="page"/>
      </w:r>
    </w:p>
    <w:p w:rsidR="0059160A" w:rsidRDefault="0087327D">
      <w:pPr>
        <w:pStyle w:val="3"/>
        <w:spacing w:before="0" w:line="240" w:lineRule="auto"/>
        <w:ind w:firstLine="567"/>
        <w:rPr>
          <w:rFonts w:ascii="Times New Roman" w:hAnsi="Times New Roman" w:cs="Times New Roman"/>
          <w:color w:val="auto"/>
          <w:sz w:val="24"/>
          <w:szCs w:val="24"/>
        </w:rPr>
      </w:pPr>
      <w:r>
        <w:rPr>
          <w:rStyle w:val="ab"/>
          <w:rFonts w:ascii="Times New Roman" w:hAnsi="Times New Roman" w:cs="Times New Roman"/>
          <w:b/>
          <w:bCs/>
          <w:color w:val="auto"/>
          <w:sz w:val="24"/>
          <w:szCs w:val="24"/>
        </w:rPr>
        <w:lastRenderedPageBreak/>
        <w:t>1. DESCRIPTION OF THE ACADEMIC DISCIPLINE</w:t>
      </w:r>
    </w:p>
    <w:p w:rsidR="0059160A" w:rsidRDefault="0087327D">
      <w:pPr>
        <w:pStyle w:val="aa"/>
        <w:spacing w:before="0" w:beforeAutospacing="0" w:after="0" w:afterAutospacing="0"/>
        <w:ind w:firstLine="567"/>
        <w:jc w:val="both"/>
        <w:rPr>
          <w:lang w:val="en-US"/>
        </w:rPr>
      </w:pPr>
      <w:r>
        <w:rPr>
          <w:rStyle w:val="ab"/>
          <w:lang w:val="en-US"/>
        </w:rPr>
        <w:t>ABSTRACT</w:t>
      </w:r>
    </w:p>
    <w:p w:rsidR="00C840BE" w:rsidRPr="00C840BE" w:rsidRDefault="0087327D" w:rsidP="00C840BE">
      <w:pPr>
        <w:pStyle w:val="aa"/>
        <w:spacing w:after="0"/>
        <w:ind w:firstLine="567"/>
        <w:jc w:val="both"/>
        <w:rPr>
          <w:rStyle w:val="ab"/>
          <w:b w:val="0"/>
          <w:bCs w:val="0"/>
          <w:lang w:val="uk-UA"/>
        </w:rPr>
      </w:pPr>
      <w:r>
        <w:rPr>
          <w:rStyle w:val="ab"/>
          <w:lang w:val="en-US"/>
        </w:rPr>
        <w:t>Brief course overview and relevance.</w:t>
      </w:r>
      <w:r>
        <w:rPr>
          <w:rStyle w:val="ab"/>
          <w:lang w:val="uk-UA"/>
        </w:rPr>
        <w:t xml:space="preserve"> </w:t>
      </w:r>
      <w:r w:rsidR="00C840BE" w:rsidRPr="00C840BE">
        <w:rPr>
          <w:rStyle w:val="ab"/>
          <w:b w:val="0"/>
          <w:bCs w:val="0"/>
          <w:lang w:val="uk-UA"/>
        </w:rPr>
        <w:t xml:space="preserve">Within the overall system of pharmacist training, the </w:t>
      </w:r>
      <w:bookmarkStart w:id="1" w:name="_Hlk243917686"/>
      <w:r w:rsidR="00C840BE" w:rsidRPr="00C840BE">
        <w:rPr>
          <w:rStyle w:val="ab"/>
          <w:b w:val="0"/>
          <w:bCs w:val="0"/>
          <w:lang w:val="uk-UA"/>
        </w:rPr>
        <w:t>manufacturing practice for specialization</w:t>
      </w:r>
      <w:r w:rsidR="00C840BE">
        <w:rPr>
          <w:rStyle w:val="ab"/>
          <w:b w:val="0"/>
          <w:bCs w:val="0"/>
          <w:lang w:val="uk-UA"/>
        </w:rPr>
        <w:t xml:space="preserve"> </w:t>
      </w:r>
      <w:r w:rsidR="00C840BE" w:rsidRPr="00C840BE">
        <w:rPr>
          <w:rStyle w:val="ab"/>
          <w:b w:val="0"/>
          <w:bCs w:val="0"/>
          <w:lang w:val="uk-UA"/>
        </w:rPr>
        <w:t>«Practice in the organization and economy of pharmacy»</w:t>
      </w:r>
      <w:bookmarkEnd w:id="1"/>
      <w:r w:rsidR="005A44FE">
        <w:rPr>
          <w:rStyle w:val="ab"/>
          <w:b w:val="0"/>
          <w:bCs w:val="0"/>
          <w:lang w:val="uk-UA"/>
        </w:rPr>
        <w:t xml:space="preserve"> </w:t>
      </w:r>
      <w:r w:rsidR="00C840BE" w:rsidRPr="00C840BE">
        <w:rPr>
          <w:rStyle w:val="ab"/>
          <w:b w:val="0"/>
          <w:bCs w:val="0"/>
          <w:lang w:val="uk-UA"/>
        </w:rPr>
        <w:t>takes place in the 9th semester (for full-time students) and the 11th semester (for part-time students).</w:t>
      </w:r>
    </w:p>
    <w:p w:rsidR="0059160A" w:rsidRDefault="00C840BE" w:rsidP="00C840BE">
      <w:pPr>
        <w:pStyle w:val="aa"/>
        <w:spacing w:before="0" w:beforeAutospacing="0" w:after="0" w:afterAutospacing="0"/>
        <w:ind w:firstLine="567"/>
        <w:jc w:val="both"/>
        <w:rPr>
          <w:rStyle w:val="ab"/>
          <w:b w:val="0"/>
          <w:bCs w:val="0"/>
          <w:lang w:val="uk-UA"/>
        </w:rPr>
      </w:pPr>
      <w:r w:rsidRPr="00C840BE">
        <w:rPr>
          <w:rStyle w:val="ab"/>
          <w:b w:val="0"/>
          <w:bCs w:val="0"/>
          <w:lang w:val="uk-UA"/>
        </w:rPr>
        <w:t xml:space="preserve">This professional internship serves as one of the final stages in the specialist training process. The primary objective of the course is to facilitate the development of essential professional knowledge, abilities, and skills, in alignment with the established educational and qualification profile. It provides a theoretical foundation for the subsequent study of other pharmaceutical and economic disciplines within the curriculum and establishes a basis for the professional competence and broad erudition of pharmacists. According to the curriculum, the course </w:t>
      </w:r>
      <w:r w:rsidR="005A44FE" w:rsidRPr="005A44FE">
        <w:rPr>
          <w:rStyle w:val="ab"/>
          <w:b w:val="0"/>
          <w:bCs w:val="0"/>
          <w:lang w:val="uk-UA"/>
        </w:rPr>
        <w:t>manufacturing practice for specialization «Practice in the organization and economy of pharmacy»</w:t>
      </w:r>
      <w:r w:rsidRPr="00C840BE">
        <w:rPr>
          <w:rStyle w:val="ab"/>
          <w:b w:val="0"/>
          <w:bCs w:val="0"/>
          <w:lang w:val="uk-UA"/>
        </w:rPr>
        <w:t xml:space="preserve"> is undertaken during the fifth year of study; it encompasses practical training in the organization of pharmaceutical provision for the population, as well as accounting and record-keeping systems within the pharmaceutical sector</w:t>
      </w:r>
      <w:r w:rsidR="0087327D">
        <w:rPr>
          <w:rStyle w:val="ab"/>
          <w:b w:val="0"/>
          <w:bCs w:val="0"/>
          <w:lang w:val="uk-UA"/>
        </w:rPr>
        <w:t>.</w:t>
      </w:r>
    </w:p>
    <w:p w:rsidR="00C840BE" w:rsidRDefault="00C840BE" w:rsidP="00C840BE">
      <w:pPr>
        <w:pStyle w:val="aa"/>
        <w:spacing w:before="0" w:beforeAutospacing="0" w:after="0" w:afterAutospacing="0"/>
        <w:ind w:firstLine="567"/>
        <w:jc w:val="both"/>
        <w:rPr>
          <w:rStyle w:val="ab"/>
          <w:b w:val="0"/>
          <w:bCs w:val="0"/>
          <w:lang w:val="uk-UA"/>
        </w:rPr>
      </w:pPr>
      <w:r w:rsidRPr="00C840BE">
        <w:rPr>
          <w:rStyle w:val="ab"/>
          <w:bCs w:val="0"/>
          <w:lang w:val="uk-UA"/>
        </w:rPr>
        <w:t>The subject</w:t>
      </w:r>
      <w:r w:rsidRPr="00C840BE">
        <w:rPr>
          <w:rStyle w:val="ab"/>
          <w:b w:val="0"/>
          <w:bCs w:val="0"/>
          <w:lang w:val="uk-UA"/>
        </w:rPr>
        <w:t xml:space="preserve"> of study of this academic discipline is the organizational and economic aspects of pharmaceutical activity.</w:t>
      </w:r>
    </w:p>
    <w:p w:rsidR="0059160A" w:rsidRDefault="0087327D">
      <w:pPr>
        <w:pStyle w:val="aa"/>
        <w:spacing w:before="0" w:beforeAutospacing="0" w:after="0" w:afterAutospacing="0"/>
        <w:ind w:firstLine="567"/>
        <w:jc w:val="both"/>
        <w:rPr>
          <w:rStyle w:val="ab"/>
          <w:lang w:val="uk-UA"/>
        </w:rPr>
      </w:pPr>
      <w:r>
        <w:rPr>
          <w:rStyle w:val="ab"/>
          <w:lang w:val="en-US"/>
        </w:rPr>
        <w:t>Prerequisites for the Educational Component.</w:t>
      </w:r>
      <w:r>
        <w:rPr>
          <w:rStyle w:val="ab"/>
          <w:lang w:val="uk-UA"/>
        </w:rPr>
        <w:t xml:space="preserve"> </w:t>
      </w:r>
    </w:p>
    <w:p w:rsidR="00C840BE" w:rsidRPr="00C840BE" w:rsidRDefault="00C840BE" w:rsidP="00C840BE">
      <w:pPr>
        <w:pStyle w:val="aa"/>
        <w:spacing w:before="0" w:beforeAutospacing="0" w:after="0" w:afterAutospacing="0"/>
        <w:ind w:firstLine="567"/>
        <w:jc w:val="both"/>
        <w:rPr>
          <w:rStyle w:val="ab"/>
          <w:b w:val="0"/>
          <w:lang w:val="uk-UA"/>
        </w:rPr>
      </w:pPr>
      <w:r w:rsidRPr="00C840BE">
        <w:rPr>
          <w:rStyle w:val="ab"/>
          <w:b w:val="0"/>
          <w:lang w:val="uk-UA"/>
        </w:rPr>
        <w:t>The discipline is based on the study of physics and chemistry during secondary education, and also utilizes the following curriculum subjects as prerequisites:</w:t>
      </w:r>
    </w:p>
    <w:p w:rsidR="00C840BE" w:rsidRPr="00C840BE" w:rsidRDefault="00C840BE" w:rsidP="00C840BE">
      <w:pPr>
        <w:pStyle w:val="aa"/>
        <w:spacing w:before="0" w:beforeAutospacing="0" w:after="0" w:afterAutospacing="0"/>
        <w:ind w:firstLine="567"/>
        <w:jc w:val="both"/>
        <w:rPr>
          <w:rStyle w:val="ab"/>
          <w:b w:val="0"/>
          <w:bCs w:val="0"/>
          <w:lang w:val="uk-UA"/>
        </w:rPr>
      </w:pPr>
      <w:r w:rsidRPr="00C840BE">
        <w:rPr>
          <w:rStyle w:val="ab"/>
          <w:b w:val="0"/>
          <w:bCs w:val="0"/>
          <w:lang w:val="uk-UA"/>
        </w:rPr>
        <w:t>- Organization and Econom</w:t>
      </w:r>
      <w:r w:rsidR="005A44FE">
        <w:rPr>
          <w:rStyle w:val="ab"/>
          <w:b w:val="0"/>
          <w:bCs w:val="0"/>
          <w:lang w:val="en-US"/>
        </w:rPr>
        <w:t>y</w:t>
      </w:r>
      <w:r w:rsidRPr="00C840BE">
        <w:rPr>
          <w:rStyle w:val="ab"/>
          <w:b w:val="0"/>
          <w:bCs w:val="0"/>
          <w:lang w:val="uk-UA"/>
        </w:rPr>
        <w:t xml:space="preserve"> of Pharmacy – a comprehensive pharmaceutical science and academic discipline that examines the organizational, economic, and managerial principles underlying the functioning of the pharmaceutical system, enterprises, and institutions, as well as the provision of medicinal products and other pharmacy-related goods to the population and healthcare facilities;</w:t>
      </w:r>
    </w:p>
    <w:p w:rsidR="0059160A" w:rsidRDefault="00C840BE" w:rsidP="00C840BE">
      <w:pPr>
        <w:pStyle w:val="aa"/>
        <w:spacing w:before="0" w:beforeAutospacing="0" w:after="0" w:afterAutospacing="0"/>
        <w:ind w:firstLine="567"/>
        <w:jc w:val="both"/>
        <w:rPr>
          <w:rStyle w:val="ab"/>
          <w:b w:val="0"/>
          <w:bCs w:val="0"/>
          <w:lang w:val="uk-UA"/>
        </w:rPr>
      </w:pPr>
      <w:r w:rsidRPr="00C840BE">
        <w:rPr>
          <w:rStyle w:val="ab"/>
          <w:b w:val="0"/>
          <w:bCs w:val="0"/>
          <w:lang w:val="uk-UA"/>
        </w:rPr>
        <w:t>- Information Technologies in Pharmacy – a discipline that explores the latest information technologies and modern software applications within the field of pharmacy.</w:t>
      </w:r>
      <w:r w:rsidR="0087327D">
        <w:rPr>
          <w:rStyle w:val="ab"/>
          <w:b w:val="0"/>
          <w:bCs w:val="0"/>
          <w:lang w:val="uk-UA"/>
        </w:rPr>
        <w:t>The course builds on the study of physics and chemistry undertaken during secondary education, and also requires prior knowledge of the following subjects from the curriculum:</w:t>
      </w:r>
    </w:p>
    <w:p w:rsidR="005A44FE" w:rsidRDefault="005A44FE" w:rsidP="00C840BE">
      <w:pPr>
        <w:pStyle w:val="ac"/>
        <w:spacing w:after="0" w:line="240" w:lineRule="auto"/>
        <w:ind w:left="-142" w:firstLine="284"/>
        <w:jc w:val="both"/>
        <w:rPr>
          <w:rFonts w:ascii="Times New Roman" w:eastAsia="Times New Roman" w:hAnsi="Times New Roman" w:cs="Times New Roman"/>
          <w:b/>
          <w:bCs/>
          <w:sz w:val="24"/>
          <w:szCs w:val="24"/>
          <w:lang w:val="en-US" w:eastAsia="uk-UA"/>
        </w:rPr>
      </w:pPr>
    </w:p>
    <w:p w:rsidR="0059160A" w:rsidRDefault="0087327D" w:rsidP="00C840BE">
      <w:pPr>
        <w:pStyle w:val="ac"/>
        <w:spacing w:after="0" w:line="240" w:lineRule="auto"/>
        <w:ind w:left="-142" w:firstLine="284"/>
        <w:jc w:val="both"/>
        <w:rPr>
          <w:rFonts w:ascii="Times New Roman" w:eastAsia="Times New Roman" w:hAnsi="Times New Roman" w:cs="Times New Roman"/>
          <w:b/>
          <w:bCs/>
          <w:sz w:val="24"/>
          <w:szCs w:val="24"/>
          <w:lang w:val="en-US" w:eastAsia="uk-UA"/>
        </w:rPr>
      </w:pPr>
      <w:r>
        <w:rPr>
          <w:rFonts w:ascii="Times New Roman" w:eastAsia="Times New Roman" w:hAnsi="Times New Roman" w:cs="Times New Roman"/>
          <w:b/>
          <w:bCs/>
          <w:sz w:val="24"/>
          <w:szCs w:val="24"/>
          <w:lang w:val="en-US" w:eastAsia="uk-UA"/>
        </w:rPr>
        <w:t>PURPOSE AND OBJECTIVES</w:t>
      </w:r>
    </w:p>
    <w:p w:rsidR="006561E2" w:rsidRDefault="006561E2">
      <w:pPr>
        <w:pStyle w:val="aa"/>
        <w:spacing w:before="0" w:beforeAutospacing="0" w:after="0" w:afterAutospacing="0"/>
        <w:ind w:firstLine="567"/>
        <w:jc w:val="both"/>
        <w:rPr>
          <w:rStyle w:val="ab"/>
          <w:b w:val="0"/>
          <w:lang w:val="en-US"/>
        </w:rPr>
      </w:pPr>
      <w:r w:rsidRPr="006561E2">
        <w:rPr>
          <w:rStyle w:val="ab"/>
          <w:b w:val="0"/>
          <w:lang w:val="en-US"/>
        </w:rPr>
        <w:t>The internship in the organization and economics of pharmacy facilitates the acquisition of practical skills essential for the subsequent study of professionally oriented educational components and for completing practical and qualification-related training—specifically: analysis of the economic activity of pharmaceutical enterprises, pharmaceutical management and marketing, pharmacoeconomics, and the final qualification project.</w:t>
      </w:r>
    </w:p>
    <w:p w:rsidR="0059160A" w:rsidRDefault="0087327D">
      <w:pPr>
        <w:pStyle w:val="aa"/>
        <w:spacing w:before="0" w:beforeAutospacing="0" w:after="0" w:afterAutospacing="0"/>
        <w:ind w:firstLine="567"/>
        <w:jc w:val="both"/>
        <w:rPr>
          <w:rStyle w:val="ab"/>
          <w:lang w:val="en-US"/>
        </w:rPr>
      </w:pPr>
      <w:r>
        <w:rPr>
          <w:rStyle w:val="ab"/>
          <w:lang w:val="en-US"/>
        </w:rPr>
        <w:t>Post-requisites for the Educational Component.</w:t>
      </w:r>
    </w:p>
    <w:p w:rsidR="0059160A" w:rsidRDefault="0087327D">
      <w:pPr>
        <w:pStyle w:val="aa"/>
        <w:numPr>
          <w:ilvl w:val="0"/>
          <w:numId w:val="3"/>
        </w:numPr>
        <w:spacing w:before="0" w:beforeAutospacing="0" w:after="0" w:afterAutospacing="0"/>
        <w:ind w:left="0" w:firstLine="567"/>
        <w:jc w:val="both"/>
        <w:rPr>
          <w:rStyle w:val="ab"/>
          <w:b w:val="0"/>
          <w:bCs w:val="0"/>
          <w:lang w:val="en-US"/>
        </w:rPr>
      </w:pPr>
      <w:r>
        <w:rPr>
          <w:rStyle w:val="ab"/>
          <w:lang w:val="en-US"/>
        </w:rPr>
        <w:t></w:t>
      </w:r>
      <w:r>
        <w:rPr>
          <w:i/>
          <w:iCs/>
          <w:color w:val="000000"/>
          <w:spacing w:val="3"/>
          <w:lang w:val="en-US"/>
        </w:rPr>
        <w:t>integrated:</w:t>
      </w:r>
      <w:r>
        <w:rPr>
          <w:i/>
          <w:iCs/>
          <w:color w:val="000000"/>
          <w:spacing w:val="3"/>
          <w:lang w:val="uk-UA"/>
        </w:rPr>
        <w:t xml:space="preserve"> </w:t>
      </w:r>
      <w:r>
        <w:rPr>
          <w:rStyle w:val="ab"/>
          <w:b w:val="0"/>
          <w:bCs w:val="0"/>
          <w:lang w:val="en-US"/>
        </w:rPr>
        <w:t>the ability to solve tasks and to comprehend and address practical problems of a research and/or innovative nature in the field of pharmacy.</w:t>
      </w:r>
    </w:p>
    <w:p w:rsidR="0059160A" w:rsidRDefault="0087327D">
      <w:pPr>
        <w:pStyle w:val="aa"/>
        <w:numPr>
          <w:ilvl w:val="0"/>
          <w:numId w:val="3"/>
        </w:numPr>
        <w:spacing w:before="0" w:beforeAutospacing="0" w:after="0" w:afterAutospacing="0" w:line="228" w:lineRule="auto"/>
        <w:ind w:left="0" w:firstLine="567"/>
        <w:jc w:val="both"/>
        <w:rPr>
          <w:i/>
          <w:iCs/>
          <w:color w:val="000000"/>
          <w:spacing w:val="3"/>
          <w:lang w:val="en-US"/>
        </w:rPr>
      </w:pPr>
      <w:r>
        <w:rPr>
          <w:i/>
          <w:iCs/>
          <w:color w:val="000000"/>
          <w:spacing w:val="3"/>
          <w:lang w:val="en-US"/>
        </w:rPr>
        <w:t>general:</w:t>
      </w:r>
    </w:p>
    <w:p w:rsidR="002B1BB5" w:rsidRPr="002B1BB5" w:rsidRDefault="002B1BB5" w:rsidP="002B1BB5">
      <w:pPr>
        <w:pStyle w:val="aa"/>
        <w:numPr>
          <w:ilvl w:val="0"/>
          <w:numId w:val="3"/>
        </w:numPr>
        <w:spacing w:after="0" w:line="228" w:lineRule="auto"/>
        <w:jc w:val="both"/>
        <w:rPr>
          <w:lang w:val="en-US"/>
        </w:rPr>
      </w:pPr>
      <w:r w:rsidRPr="002B1BB5">
        <w:rPr>
          <w:lang w:val="en-US"/>
        </w:rPr>
        <w:t>GC 03. Knowledge and understanding of the subject area and professional practice.</w:t>
      </w:r>
    </w:p>
    <w:p w:rsidR="002B1BB5" w:rsidRPr="002B1BB5" w:rsidRDefault="002B1BB5" w:rsidP="002B1BB5">
      <w:pPr>
        <w:pStyle w:val="aa"/>
        <w:numPr>
          <w:ilvl w:val="0"/>
          <w:numId w:val="3"/>
        </w:numPr>
        <w:spacing w:after="0" w:line="228" w:lineRule="auto"/>
        <w:jc w:val="both"/>
        <w:rPr>
          <w:lang w:val="en-US"/>
        </w:rPr>
      </w:pPr>
      <w:r w:rsidRPr="002B1BB5">
        <w:rPr>
          <w:lang w:val="en-US"/>
        </w:rPr>
        <w:t>GC 04. Ability to adapt and act in new situations; ability to demonstrate initiative.</w:t>
      </w:r>
    </w:p>
    <w:p w:rsidR="002B1BB5" w:rsidRPr="002B1BB5" w:rsidRDefault="002B1BB5" w:rsidP="002B1BB5">
      <w:pPr>
        <w:pStyle w:val="aa"/>
        <w:numPr>
          <w:ilvl w:val="0"/>
          <w:numId w:val="3"/>
        </w:numPr>
        <w:spacing w:before="0" w:beforeAutospacing="0" w:after="0" w:afterAutospacing="0" w:line="228" w:lineRule="auto"/>
        <w:jc w:val="both"/>
        <w:rPr>
          <w:i/>
          <w:iCs/>
          <w:color w:val="000000"/>
          <w:spacing w:val="3"/>
          <w:lang w:val="en-US"/>
        </w:rPr>
      </w:pPr>
      <w:r w:rsidRPr="002B1BB5">
        <w:rPr>
          <w:lang w:val="en-US"/>
        </w:rPr>
        <w:t>GC 05. Ability to communicate in the state language (both orally and in writing) and in a foreign language (primarily English) at a level sufficient for effective professional practice; ability to evaluate and ensure the quality of work performed.</w:t>
      </w:r>
    </w:p>
    <w:p w:rsidR="0059160A" w:rsidRDefault="0087327D" w:rsidP="002B1BB5">
      <w:pPr>
        <w:pStyle w:val="aa"/>
        <w:numPr>
          <w:ilvl w:val="0"/>
          <w:numId w:val="3"/>
        </w:numPr>
        <w:spacing w:before="0" w:beforeAutospacing="0" w:after="0" w:afterAutospacing="0" w:line="228" w:lineRule="auto"/>
        <w:jc w:val="both"/>
        <w:rPr>
          <w:i/>
          <w:iCs/>
          <w:color w:val="000000"/>
          <w:spacing w:val="3"/>
          <w:lang w:val="en-US"/>
        </w:rPr>
      </w:pPr>
      <w:r>
        <w:rPr>
          <w:i/>
          <w:iCs/>
          <w:color w:val="000000"/>
          <w:spacing w:val="3"/>
          <w:lang w:val="en-US"/>
        </w:rPr>
        <w:t>specialised (professional, subject-specific) competences (PC):</w:t>
      </w:r>
    </w:p>
    <w:p w:rsidR="002B1BB5" w:rsidRPr="002B1BB5" w:rsidRDefault="002B1BB5" w:rsidP="002B1BB5">
      <w:pPr>
        <w:spacing w:after="0" w:line="228" w:lineRule="auto"/>
        <w:ind w:firstLine="567"/>
        <w:jc w:val="both"/>
        <w:rPr>
          <w:rFonts w:ascii="Times New Roman" w:eastAsia="Times New Roman" w:hAnsi="Times New Roman" w:cs="Times New Roman"/>
          <w:sz w:val="24"/>
          <w:szCs w:val="24"/>
          <w:lang w:val="en-US" w:eastAsia="ru-RU"/>
        </w:rPr>
      </w:pPr>
      <w:r w:rsidRPr="002B1BB5">
        <w:rPr>
          <w:rFonts w:ascii="Times New Roman" w:eastAsia="Times New Roman" w:hAnsi="Times New Roman" w:cs="Times New Roman"/>
          <w:sz w:val="24"/>
          <w:szCs w:val="24"/>
          <w:lang w:val="en-US" w:eastAsia="ru-RU"/>
        </w:rPr>
        <w:t>SC 02. Ability to integrate knowledge and solve complex pharmaceutical problems within broad or multidisciplinary contexts.</w:t>
      </w:r>
    </w:p>
    <w:p w:rsidR="002B1BB5" w:rsidRPr="002B1BB5" w:rsidRDefault="002B1BB5" w:rsidP="002B1BB5">
      <w:pPr>
        <w:spacing w:after="0" w:line="228" w:lineRule="auto"/>
        <w:ind w:firstLine="567"/>
        <w:jc w:val="both"/>
        <w:rPr>
          <w:rFonts w:ascii="Times New Roman" w:eastAsia="Times New Roman" w:hAnsi="Times New Roman" w:cs="Times New Roman"/>
          <w:sz w:val="24"/>
          <w:szCs w:val="24"/>
          <w:lang w:val="en-US" w:eastAsia="ru-RU"/>
        </w:rPr>
      </w:pPr>
      <w:r w:rsidRPr="002B1BB5">
        <w:rPr>
          <w:rFonts w:ascii="Times New Roman" w:eastAsia="Times New Roman" w:hAnsi="Times New Roman" w:cs="Times New Roman"/>
          <w:sz w:val="24"/>
          <w:szCs w:val="24"/>
          <w:lang w:val="en-US" w:eastAsia="ru-RU"/>
        </w:rPr>
        <w:t xml:space="preserve">SC 07. Ability to conduct health education and awareness-raising activities among the general public aimed at preventing common illnesses, as well as dangerous infectious, viral, and parasitic </w:t>
      </w:r>
      <w:r w:rsidRPr="002B1BB5">
        <w:rPr>
          <w:rFonts w:ascii="Times New Roman" w:eastAsia="Times New Roman" w:hAnsi="Times New Roman" w:cs="Times New Roman"/>
          <w:sz w:val="24"/>
          <w:szCs w:val="24"/>
          <w:lang w:val="en-US" w:eastAsia="ru-RU"/>
        </w:rPr>
        <w:lastRenderedPageBreak/>
        <w:t xml:space="preserve">diseases; and to facilitate the timely detection of such conditions and promote adherence to treatment, </w:t>
      </w:r>
      <w:proofErr w:type="gramStart"/>
      <w:r w:rsidRPr="002B1BB5">
        <w:rPr>
          <w:rFonts w:ascii="Times New Roman" w:eastAsia="Times New Roman" w:hAnsi="Times New Roman" w:cs="Times New Roman"/>
          <w:sz w:val="24"/>
          <w:szCs w:val="24"/>
          <w:lang w:val="en-US" w:eastAsia="ru-RU"/>
        </w:rPr>
        <w:t>taking into account</w:t>
      </w:r>
      <w:proofErr w:type="gramEnd"/>
      <w:r w:rsidRPr="002B1BB5">
        <w:rPr>
          <w:rFonts w:ascii="Times New Roman" w:eastAsia="Times New Roman" w:hAnsi="Times New Roman" w:cs="Times New Roman"/>
          <w:sz w:val="24"/>
          <w:szCs w:val="24"/>
          <w:lang w:val="en-US" w:eastAsia="ru-RU"/>
        </w:rPr>
        <w:t xml:space="preserve"> their biomedical characteristics and microbiological features.</w:t>
      </w:r>
    </w:p>
    <w:p w:rsidR="002B1BB5" w:rsidRPr="002B1BB5" w:rsidRDefault="005A44FE" w:rsidP="002B1BB5">
      <w:pPr>
        <w:spacing w:after="0" w:line="228" w:lineRule="auto"/>
        <w:ind w:firstLine="567"/>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w:t>
      </w:r>
      <w:r w:rsidR="002B1BB5" w:rsidRPr="002B1BB5">
        <w:rPr>
          <w:rFonts w:ascii="Times New Roman" w:eastAsia="Times New Roman" w:hAnsi="Times New Roman" w:cs="Times New Roman"/>
          <w:sz w:val="24"/>
          <w:szCs w:val="24"/>
          <w:lang w:val="en-US" w:eastAsia="ru-RU"/>
        </w:rPr>
        <w:t>C 09. The ability to provide consultation regarding prescription and non-prescription medicinal products and other pharmacy-related goods, as well as aspects of healthy nutrition; to provide pharmaceutical care during the selection and dispensing of medicinal products of natural and synthetic origin by evaluating the risk-benefit ratio and compatibility; and to do so while taking into account their biopharmaceutical, pharmacokinetic, pharmacodynamic, and physicochemical/chemical properties, as well as indications and contraindications for use, based on the health status of the individual patient.</w:t>
      </w:r>
    </w:p>
    <w:p w:rsidR="002B1BB5" w:rsidRPr="002B1BB5" w:rsidRDefault="005A44FE" w:rsidP="002B1BB5">
      <w:pPr>
        <w:spacing w:after="0" w:line="228" w:lineRule="auto"/>
        <w:ind w:firstLine="567"/>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w:t>
      </w:r>
      <w:r w:rsidR="002B1BB5" w:rsidRPr="002B1BB5">
        <w:rPr>
          <w:rFonts w:ascii="Times New Roman" w:eastAsia="Times New Roman" w:hAnsi="Times New Roman" w:cs="Times New Roman"/>
          <w:sz w:val="24"/>
          <w:szCs w:val="24"/>
          <w:lang w:val="en-US" w:eastAsia="ru-RU"/>
        </w:rPr>
        <w:t>C 12. The ability to organize the operations of pharmacy establishments to supply the general public and healthcare institutions with medicinal products and other pharmacy-related goods; to implement appropriate reporting and accounting systems (managerial, statistical, bookkeeping, and financial) in compliance with the National Medicines Policy and Good Pharmacy Practice (GPP); and to conduct commodity analysis and administrative record-keeping in accordance with the organizational and legal norms of pharmaceutical legislation.</w:t>
      </w:r>
    </w:p>
    <w:p w:rsidR="002B1BB5" w:rsidRPr="002B1BB5" w:rsidRDefault="005A44FE" w:rsidP="002B1BB5">
      <w:pPr>
        <w:spacing w:after="0" w:line="228" w:lineRule="auto"/>
        <w:ind w:firstLine="567"/>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w:t>
      </w:r>
      <w:r w:rsidR="002B1BB5" w:rsidRPr="002B1BB5">
        <w:rPr>
          <w:rFonts w:ascii="Times New Roman" w:eastAsia="Times New Roman" w:hAnsi="Times New Roman" w:cs="Times New Roman"/>
          <w:sz w:val="24"/>
          <w:szCs w:val="24"/>
          <w:lang w:val="en-US" w:eastAsia="ru-RU"/>
        </w:rPr>
        <w:t>C 13. The ability to analyze socio-economic processes within the pharmaceutical sector; to examine the forms, methods, and functions of the pharmaceutical supply system (and its components) as practiced globally; and to assess indicators related to the need for, effectiveness of, and accessibility of pharmaceutical care within the context of health insurance and the reimbursement of the cost of medicinal products. PC 14. The ability to analyze and forecast key economic indicators of pharmacy operations, calculate major taxes and levies, and determine prices for medicinal products and medical devices in accordance with the current legislation of Ukraine.</w:t>
      </w:r>
    </w:p>
    <w:p w:rsidR="002B1BB5" w:rsidRDefault="005A44FE" w:rsidP="002B1BB5">
      <w:pPr>
        <w:spacing w:after="0" w:line="228" w:lineRule="auto"/>
        <w:ind w:firstLine="567"/>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w:t>
      </w:r>
      <w:r w:rsidR="002B1BB5" w:rsidRPr="002B1BB5">
        <w:rPr>
          <w:rFonts w:ascii="Times New Roman" w:eastAsia="Times New Roman" w:hAnsi="Times New Roman" w:cs="Times New Roman"/>
          <w:sz w:val="24"/>
          <w:szCs w:val="24"/>
          <w:lang w:val="en-US" w:eastAsia="ru-RU"/>
        </w:rPr>
        <w:t>C 19. The ability to organize and participate in the manufacturing of medicinal products within pharmaceutical enterprises, including the selection and justification of the technological process and equipment in accordance with Good Manufacturing Practice (GMP) requirements, along with the development and preparation of the necessary documentation.</w:t>
      </w:r>
    </w:p>
    <w:p w:rsidR="0059160A" w:rsidRDefault="0087327D" w:rsidP="002B1BB5">
      <w:pPr>
        <w:spacing w:after="0" w:line="228" w:lineRule="auto"/>
        <w:ind w:firstLine="567"/>
        <w:jc w:val="both"/>
        <w:rPr>
          <w:rFonts w:ascii="Times New Roman" w:eastAsia="Times New Roman" w:hAnsi="Times New Roman" w:cs="Times New Roman"/>
          <w:sz w:val="24"/>
          <w:szCs w:val="24"/>
          <w:lang w:val="en-US" w:eastAsia="ru-RU"/>
        </w:rPr>
      </w:pPr>
      <w:r>
        <w:rPr>
          <w:rStyle w:val="ab"/>
          <w:rFonts w:ascii="Times New Roman" w:hAnsi="Times New Roman" w:cs="Times New Roman"/>
          <w:sz w:val="24"/>
          <w:szCs w:val="24"/>
          <w:lang w:val="en-US" w:eastAsia="ru-RU"/>
        </w:rPr>
        <w:t xml:space="preserve">Post-requisites </w:t>
      </w:r>
      <w:r>
        <w:rPr>
          <w:rFonts w:ascii="Times New Roman" w:eastAsia="Times New Roman" w:hAnsi="Times New Roman" w:cs="Times New Roman"/>
          <w:i/>
          <w:iCs/>
          <w:sz w:val="24"/>
          <w:szCs w:val="24"/>
          <w:lang w:val="en-US" w:eastAsia="ru-RU"/>
        </w:rPr>
        <w:t>(How will this be useful in your future studies and professional career?)</w:t>
      </w:r>
    </w:p>
    <w:p w:rsidR="002B1BB5" w:rsidRDefault="002B1BB5" w:rsidP="002B1BB5">
      <w:pPr>
        <w:pStyle w:val="3"/>
        <w:spacing w:before="0" w:line="276" w:lineRule="auto"/>
        <w:ind w:firstLine="567"/>
        <w:jc w:val="both"/>
        <w:rPr>
          <w:rFonts w:ascii="Times New Roman" w:eastAsia="Times New Roman" w:hAnsi="Times New Roman" w:cs="Times New Roman"/>
          <w:b w:val="0"/>
          <w:bCs w:val="0"/>
          <w:color w:val="auto"/>
          <w:sz w:val="24"/>
          <w:szCs w:val="24"/>
          <w:lang w:val="en-US" w:eastAsia="ru-RU"/>
        </w:rPr>
      </w:pPr>
      <w:r w:rsidRPr="002B1BB5">
        <w:rPr>
          <w:rFonts w:ascii="Times New Roman" w:eastAsia="Times New Roman" w:hAnsi="Times New Roman" w:cs="Times New Roman"/>
          <w:b w:val="0"/>
          <w:bCs w:val="0"/>
          <w:color w:val="auto"/>
          <w:sz w:val="24"/>
          <w:szCs w:val="24"/>
          <w:lang w:val="en-US" w:eastAsia="ru-RU"/>
        </w:rPr>
        <w:t>The internship in the organization and economics of pharmacy facilitates the acquisition of practical skills essential for the subsequent study of professionally oriented educational components and for completing practical and qualification-related training—specifically: analysis of the economic activity of pharmaceutical enterprises, pharmaceutical management and marketing, pharmacoeconomics, and the final qualification project.</w:t>
      </w:r>
    </w:p>
    <w:p w:rsidR="0059160A" w:rsidRDefault="0087327D" w:rsidP="002B1BB5">
      <w:pPr>
        <w:pStyle w:val="3"/>
        <w:spacing w:before="0" w:line="276" w:lineRule="auto"/>
        <w:ind w:firstLine="567"/>
        <w:jc w:val="both"/>
        <w:rPr>
          <w:rFonts w:ascii="Times New Roman" w:eastAsia="Times New Roman" w:hAnsi="Times New Roman" w:cs="Times New Roman"/>
          <w:color w:val="auto"/>
          <w:sz w:val="24"/>
          <w:szCs w:val="24"/>
          <w:lang w:val="ru-RU" w:eastAsia="ru-RU"/>
        </w:rPr>
      </w:pPr>
      <w:r>
        <w:rPr>
          <w:rFonts w:ascii="Times New Roman" w:eastAsia="Times New Roman" w:hAnsi="Times New Roman" w:cs="Times New Roman"/>
          <w:color w:val="auto"/>
          <w:sz w:val="24"/>
          <w:szCs w:val="24"/>
          <w:lang w:val="ru-RU" w:eastAsia="ru-RU"/>
        </w:rPr>
        <w:t xml:space="preserve"> 2. LEARNING OUTCOMES</w:t>
      </w:r>
    </w:p>
    <w:p w:rsidR="002B1BB5" w:rsidRPr="002B1BB5" w:rsidRDefault="002B1BB5" w:rsidP="002B1BB5">
      <w:pPr>
        <w:pStyle w:val="aa"/>
        <w:spacing w:before="0" w:beforeAutospacing="0" w:after="0" w:afterAutospacing="0" w:line="276" w:lineRule="auto"/>
        <w:ind w:firstLine="567"/>
        <w:rPr>
          <w:rStyle w:val="markedcontent"/>
          <w:rFonts w:eastAsia="SimSun"/>
          <w:lang w:val="en-US"/>
        </w:rPr>
      </w:pPr>
      <w:r w:rsidRPr="002B1BB5">
        <w:rPr>
          <w:rStyle w:val="markedcontent"/>
          <w:rFonts w:eastAsia="SimSun"/>
          <w:lang w:val="en-US"/>
        </w:rPr>
        <w:t>PLO 01. Apply specialized knowledge and skills from general and professional disciplines in professional practice.</w:t>
      </w:r>
    </w:p>
    <w:p w:rsidR="002B1BB5" w:rsidRPr="002B1BB5" w:rsidRDefault="002B1BB5" w:rsidP="002B1BB5">
      <w:pPr>
        <w:pStyle w:val="aa"/>
        <w:spacing w:before="0" w:beforeAutospacing="0" w:after="0" w:afterAutospacing="0" w:line="276" w:lineRule="auto"/>
        <w:ind w:firstLine="567"/>
        <w:rPr>
          <w:rStyle w:val="markedcontent"/>
          <w:rFonts w:eastAsia="SimSun"/>
          <w:lang w:val="en-US"/>
        </w:rPr>
      </w:pPr>
      <w:r w:rsidRPr="002B1BB5">
        <w:rPr>
          <w:rStyle w:val="markedcontent"/>
          <w:rFonts w:eastAsia="SimSun"/>
          <w:lang w:val="en-US"/>
        </w:rPr>
        <w:t>PLO 04. Adhere to sanitary-hygienic standards and safety requirements when performing professional activities.</w:t>
      </w:r>
    </w:p>
    <w:p w:rsidR="002B1BB5" w:rsidRPr="002B1BB5" w:rsidRDefault="002B1BB5" w:rsidP="002B1BB5">
      <w:pPr>
        <w:pStyle w:val="aa"/>
        <w:spacing w:before="0" w:beforeAutospacing="0" w:after="0" w:afterAutospacing="0" w:line="276" w:lineRule="auto"/>
        <w:ind w:firstLine="567"/>
        <w:rPr>
          <w:rStyle w:val="markedcontent"/>
          <w:rFonts w:eastAsia="SimSun"/>
          <w:lang w:val="en-US"/>
        </w:rPr>
      </w:pPr>
      <w:r w:rsidRPr="002B1BB5">
        <w:rPr>
          <w:rStyle w:val="markedcontent"/>
          <w:rFonts w:eastAsia="SimSun"/>
          <w:lang w:val="en-US"/>
        </w:rPr>
        <w:t>PLO 05. Plan and carry out professional activities in accordance with the regulatory and legal acts of Ukraine and the guidelines for Good Pharmaceutical Practices.</w:t>
      </w:r>
    </w:p>
    <w:p w:rsidR="002B1BB5" w:rsidRPr="002B1BB5" w:rsidRDefault="002B1BB5" w:rsidP="002B1BB5">
      <w:pPr>
        <w:pStyle w:val="aa"/>
        <w:spacing w:before="0" w:beforeAutospacing="0" w:after="0" w:afterAutospacing="0" w:line="276" w:lineRule="auto"/>
        <w:ind w:firstLine="567"/>
        <w:rPr>
          <w:rStyle w:val="markedcontent"/>
          <w:rFonts w:eastAsia="SimSun"/>
          <w:lang w:val="en-US"/>
        </w:rPr>
      </w:pPr>
      <w:r w:rsidRPr="002B1BB5">
        <w:rPr>
          <w:rStyle w:val="markedcontent"/>
          <w:rFonts w:eastAsia="SimSun"/>
          <w:lang w:val="en-US"/>
        </w:rPr>
        <w:t xml:space="preserve">PLO 14. Identify the advantages and disadvantages of medicinal products from various pharmacological groups, </w:t>
      </w:r>
      <w:proofErr w:type="gramStart"/>
      <w:r w:rsidRPr="002B1BB5">
        <w:rPr>
          <w:rStyle w:val="markedcontent"/>
          <w:rFonts w:eastAsia="SimSun"/>
          <w:lang w:val="en-US"/>
        </w:rPr>
        <w:t>taking into account</w:t>
      </w:r>
      <w:proofErr w:type="gramEnd"/>
      <w:r w:rsidRPr="002B1BB5">
        <w:rPr>
          <w:rStyle w:val="markedcontent"/>
          <w:rFonts w:eastAsia="SimSun"/>
          <w:lang w:val="en-US"/>
        </w:rPr>
        <w:t xml:space="preserve"> their chemical, physicochemical, biopharmaceutical, pharmacokinetic, and pharmacodynamic characteristics. Recommend non-prescription medicinal products and other pharmacy-stocked items to consumers, while providing consultation and pharmaceutical care.</w:t>
      </w:r>
    </w:p>
    <w:p w:rsidR="002B1BB5" w:rsidRPr="002B1BB5" w:rsidRDefault="002B1BB5" w:rsidP="002B1BB5">
      <w:pPr>
        <w:pStyle w:val="aa"/>
        <w:spacing w:before="0" w:beforeAutospacing="0" w:after="0" w:afterAutospacing="0" w:line="276" w:lineRule="auto"/>
        <w:ind w:firstLine="567"/>
        <w:rPr>
          <w:rStyle w:val="markedcontent"/>
          <w:rFonts w:eastAsia="SimSun"/>
          <w:lang w:val="en-US"/>
        </w:rPr>
      </w:pPr>
      <w:r w:rsidRPr="002B1BB5">
        <w:rPr>
          <w:rStyle w:val="markedcontent"/>
          <w:rFonts w:eastAsia="SimSun"/>
          <w:lang w:val="en-US"/>
        </w:rPr>
        <w:t>PLO 17. Implement appropriate organizational and managerial measures to ensure the population and healthcare institutions are supplied with medicinal products and other pharmacy-stocked items; manage all types of reporting and record-keeping in pharmacy establishments, as well as administrative documentation and commodity analysis.</w:t>
      </w:r>
    </w:p>
    <w:p w:rsidR="002B1BB5" w:rsidRDefault="002B1BB5" w:rsidP="002B1BB5">
      <w:pPr>
        <w:pStyle w:val="aa"/>
        <w:spacing w:before="0" w:beforeAutospacing="0" w:after="0" w:afterAutospacing="0" w:line="276" w:lineRule="auto"/>
        <w:ind w:firstLine="567"/>
        <w:rPr>
          <w:b/>
          <w:color w:val="000000"/>
          <w:lang w:val="en-US"/>
        </w:rPr>
      </w:pPr>
      <w:r w:rsidRPr="002B1BB5">
        <w:rPr>
          <w:rStyle w:val="markedcontent"/>
          <w:rFonts w:eastAsia="SimSun"/>
          <w:lang w:val="en-US"/>
        </w:rPr>
        <w:t xml:space="preserve">PLO 26. Ensure and perform quality control of medicinal products of natural and synthetic origin, and document the results; prepare quality certificates and certificates of analysis in </w:t>
      </w:r>
      <w:r w:rsidRPr="002B1BB5">
        <w:rPr>
          <w:rStyle w:val="markedcontent"/>
          <w:rFonts w:eastAsia="SimSun"/>
          <w:lang w:val="en-US"/>
        </w:rPr>
        <w:lastRenderedPageBreak/>
        <w:t>compliance with the requirements of the current edition of the State Pharmacopoeia of Ukraine, quality control standards, technical instructions, etc.; and implement measures to prevent the distribution of substandard, falsified, or unregistered medicinal products.</w:t>
      </w:r>
      <w:r w:rsidR="0087327D">
        <w:rPr>
          <w:b/>
          <w:color w:val="000000"/>
          <w:lang w:val="uk-UA"/>
        </w:rPr>
        <w:t xml:space="preserve">3. </w:t>
      </w:r>
      <w:r w:rsidR="0087327D">
        <w:rPr>
          <w:b/>
          <w:color w:val="000000"/>
          <w:lang w:val="en-US"/>
        </w:rPr>
        <w:t xml:space="preserve">FORMS OF </w:t>
      </w:r>
    </w:p>
    <w:p w:rsidR="0059160A" w:rsidRDefault="0087327D" w:rsidP="002B1BB5">
      <w:pPr>
        <w:pStyle w:val="aa"/>
        <w:spacing w:before="0" w:beforeAutospacing="0" w:after="0" w:afterAutospacing="0" w:line="276" w:lineRule="auto"/>
        <w:ind w:firstLine="567"/>
        <w:rPr>
          <w:b/>
          <w:color w:val="000000"/>
          <w:lang w:val="en-US"/>
        </w:rPr>
      </w:pPr>
      <w:r>
        <w:rPr>
          <w:b/>
          <w:color w:val="000000"/>
          <w:lang w:val="en-US"/>
        </w:rPr>
        <w:t>ORGANISATION OF THE EDUCATIONAL PROCESS AND THEIR SCOPE</w:t>
      </w:r>
    </w:p>
    <w:tbl>
      <w:tblPr>
        <w:tblW w:w="9595"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35"/>
        <w:gridCol w:w="4660"/>
      </w:tblGrid>
      <w:tr w:rsidR="00BC2F9B" w:rsidTr="00EB2D3F">
        <w:trPr>
          <w:trHeight w:val="276"/>
        </w:trPr>
        <w:tc>
          <w:tcPr>
            <w:tcW w:w="4935" w:type="dxa"/>
          </w:tcPr>
          <w:p w:rsidR="00BC2F9B" w:rsidRDefault="00BC2F9B" w:rsidP="00EB2D3F">
            <w:pPr>
              <w:spacing w:after="0" w:line="240" w:lineRule="auto"/>
              <w:ind w:firstLine="567"/>
              <w:jc w:val="center"/>
              <w:rPr>
                <w:rFonts w:ascii="Times New Roman" w:hAnsi="Times New Roman" w:cs="Times New Roman"/>
                <w:b/>
                <w:bCs/>
                <w:sz w:val="20"/>
                <w:szCs w:val="20"/>
                <w:lang w:val="en-US"/>
              </w:rPr>
            </w:pPr>
            <w:r>
              <w:rPr>
                <w:rStyle w:val="ab"/>
                <w:rFonts w:ascii="Times New Roman" w:hAnsi="Times New Roman" w:cs="Times New Roman"/>
                <w:sz w:val="20"/>
                <w:szCs w:val="20"/>
              </w:rPr>
              <w:t>Type of Learning Activity</w:t>
            </w:r>
          </w:p>
        </w:tc>
        <w:tc>
          <w:tcPr>
            <w:tcW w:w="4660" w:type="dxa"/>
          </w:tcPr>
          <w:p w:rsidR="00BC2F9B" w:rsidRDefault="00BC2F9B" w:rsidP="00EB2D3F">
            <w:pPr>
              <w:widowControl w:val="0"/>
              <w:autoSpaceDE w:val="0"/>
              <w:autoSpaceDN w:val="0"/>
              <w:spacing w:after="0" w:line="240" w:lineRule="auto"/>
              <w:ind w:firstLine="567"/>
              <w:jc w:val="center"/>
              <w:rPr>
                <w:rFonts w:ascii="Times New Roman" w:eastAsia="Times New Roman" w:hAnsi="Times New Roman" w:cs="Times New Roman"/>
                <w:b/>
                <w:sz w:val="20"/>
                <w:szCs w:val="20"/>
                <w:lang w:val="en-US"/>
              </w:rPr>
            </w:pPr>
            <w:r>
              <w:rPr>
                <w:rFonts w:ascii="Times New Roman" w:eastAsia="Times New Roman" w:hAnsi="Times New Roman" w:cs="Times New Roman"/>
                <w:b/>
                <w:spacing w:val="-2"/>
                <w:sz w:val="20"/>
                <w:szCs w:val="20"/>
                <w:lang w:val="en-US"/>
              </w:rPr>
              <w:t>Hours</w:t>
            </w:r>
          </w:p>
        </w:tc>
      </w:tr>
      <w:tr w:rsidR="00BC2F9B" w:rsidTr="00EB2D3F">
        <w:trPr>
          <w:trHeight w:val="369"/>
        </w:trPr>
        <w:tc>
          <w:tcPr>
            <w:tcW w:w="9595" w:type="dxa"/>
            <w:gridSpan w:val="2"/>
          </w:tcPr>
          <w:p w:rsidR="00BC2F9B" w:rsidRDefault="00BC2F9B" w:rsidP="00EB2D3F">
            <w:pPr>
              <w:widowControl w:val="0"/>
              <w:autoSpaceDE w:val="0"/>
              <w:autoSpaceDN w:val="0"/>
              <w:spacing w:after="0" w:line="240" w:lineRule="auto"/>
              <w:ind w:firstLine="567"/>
              <w:jc w:val="center"/>
              <w:rPr>
                <w:rFonts w:ascii="Times New Roman" w:eastAsia="Times New Roman" w:hAnsi="Times New Roman" w:cs="Times New Roman"/>
                <w:b/>
                <w:spacing w:val="-2"/>
                <w:sz w:val="20"/>
                <w:szCs w:val="20"/>
              </w:rPr>
            </w:pPr>
            <w:r w:rsidRPr="00200054">
              <w:rPr>
                <w:rFonts w:ascii="Times New Roman" w:hAnsi="Times New Roman" w:cs="Times New Roman"/>
                <w:sz w:val="20"/>
                <w:szCs w:val="20"/>
              </w:rPr>
              <w:t>Full-time form of study</w:t>
            </w:r>
          </w:p>
        </w:tc>
      </w:tr>
      <w:tr w:rsidR="00BC2F9B" w:rsidTr="007720A6">
        <w:trPr>
          <w:trHeight w:val="369"/>
        </w:trPr>
        <w:tc>
          <w:tcPr>
            <w:tcW w:w="4935" w:type="dxa"/>
          </w:tcPr>
          <w:p w:rsidR="00BC2F9B" w:rsidRPr="00BC2F9B" w:rsidRDefault="00BC2F9B" w:rsidP="00BC2F9B">
            <w:pPr>
              <w:spacing w:after="0" w:line="240" w:lineRule="auto"/>
              <w:ind w:firstLine="567"/>
              <w:jc w:val="center"/>
              <w:rPr>
                <w:rFonts w:ascii="Times New Roman" w:hAnsi="Times New Roman" w:cs="Times New Roman"/>
                <w:sz w:val="20"/>
                <w:szCs w:val="20"/>
              </w:rPr>
            </w:pPr>
            <w:r w:rsidRPr="00BC2F9B">
              <w:rPr>
                <w:rFonts w:ascii="Times New Roman" w:hAnsi="Times New Roman" w:cs="Times New Roman"/>
                <w:sz w:val="20"/>
                <w:szCs w:val="20"/>
              </w:rPr>
              <w:t>Lectures:</w:t>
            </w:r>
          </w:p>
        </w:tc>
        <w:tc>
          <w:tcPr>
            <w:tcW w:w="4660" w:type="dxa"/>
            <w:shd w:val="clear" w:color="auto" w:fill="auto"/>
          </w:tcPr>
          <w:p w:rsidR="00BC2F9B" w:rsidRPr="00BC2F9B" w:rsidRDefault="00BC2F9B" w:rsidP="00BC2F9B">
            <w:pPr>
              <w:widowControl w:val="0"/>
              <w:autoSpaceDE w:val="0"/>
              <w:autoSpaceDN w:val="0"/>
              <w:spacing w:after="0" w:line="256" w:lineRule="exact"/>
              <w:ind w:left="9"/>
              <w:jc w:val="center"/>
              <w:rPr>
                <w:rFonts w:ascii="Times New Roman" w:eastAsia="Times New Roman" w:hAnsi="Times New Roman" w:cs="Times New Roman"/>
                <w:b/>
                <w:spacing w:val="-2"/>
                <w:sz w:val="20"/>
                <w:szCs w:val="20"/>
                <w:lang w:eastAsia="ru-RU"/>
              </w:rPr>
            </w:pPr>
            <w:r w:rsidRPr="00BC2F9B">
              <w:rPr>
                <w:rFonts w:ascii="Times New Roman" w:eastAsia="Times New Roman" w:hAnsi="Times New Roman" w:cs="Times New Roman"/>
                <w:b/>
                <w:spacing w:val="-2"/>
                <w:sz w:val="20"/>
                <w:szCs w:val="20"/>
                <w:lang w:eastAsia="ru-RU"/>
              </w:rPr>
              <w:t>-</w:t>
            </w:r>
          </w:p>
        </w:tc>
      </w:tr>
      <w:tr w:rsidR="00BC2F9B" w:rsidTr="007720A6">
        <w:trPr>
          <w:trHeight w:val="419"/>
        </w:trPr>
        <w:tc>
          <w:tcPr>
            <w:tcW w:w="4935" w:type="dxa"/>
          </w:tcPr>
          <w:p w:rsidR="00BC2F9B" w:rsidRPr="00BC2F9B" w:rsidRDefault="00BC2F9B" w:rsidP="00BC2F9B">
            <w:pPr>
              <w:spacing w:after="0" w:line="240" w:lineRule="auto"/>
              <w:ind w:firstLine="567"/>
              <w:jc w:val="center"/>
              <w:rPr>
                <w:rFonts w:ascii="Times New Roman" w:hAnsi="Times New Roman" w:cs="Times New Roman"/>
                <w:sz w:val="20"/>
                <w:szCs w:val="20"/>
              </w:rPr>
            </w:pPr>
            <w:r w:rsidRPr="00BC2F9B">
              <w:rPr>
                <w:rFonts w:ascii="Times New Roman" w:hAnsi="Times New Roman" w:cs="Times New Roman"/>
                <w:sz w:val="20"/>
                <w:szCs w:val="20"/>
              </w:rPr>
              <w:t>Practical Classes:</w:t>
            </w:r>
          </w:p>
        </w:tc>
        <w:tc>
          <w:tcPr>
            <w:tcW w:w="4660" w:type="dxa"/>
            <w:shd w:val="clear" w:color="auto" w:fill="auto"/>
          </w:tcPr>
          <w:p w:rsidR="00BC2F9B" w:rsidRPr="00BC2F9B" w:rsidRDefault="00BC2F9B" w:rsidP="00BC2F9B">
            <w:pPr>
              <w:widowControl w:val="0"/>
              <w:autoSpaceDE w:val="0"/>
              <w:autoSpaceDN w:val="0"/>
              <w:spacing w:after="0" w:line="256" w:lineRule="exact"/>
              <w:ind w:left="9"/>
              <w:jc w:val="center"/>
              <w:rPr>
                <w:rFonts w:ascii="Times New Roman" w:eastAsia="Times New Roman" w:hAnsi="Times New Roman" w:cs="Times New Roman"/>
                <w:b/>
                <w:spacing w:val="-2"/>
                <w:sz w:val="20"/>
                <w:szCs w:val="20"/>
                <w:lang w:eastAsia="ru-RU"/>
              </w:rPr>
            </w:pPr>
            <w:r w:rsidRPr="00BC2F9B">
              <w:rPr>
                <w:rFonts w:ascii="Times New Roman" w:eastAsia="Times New Roman" w:hAnsi="Times New Roman" w:cs="Times New Roman"/>
                <w:b/>
                <w:spacing w:val="-2"/>
                <w:sz w:val="20"/>
                <w:szCs w:val="20"/>
                <w:lang w:eastAsia="ru-RU"/>
              </w:rPr>
              <w:t>60</w:t>
            </w:r>
          </w:p>
        </w:tc>
      </w:tr>
      <w:tr w:rsidR="00BC2F9B" w:rsidTr="007720A6">
        <w:trPr>
          <w:trHeight w:val="411"/>
        </w:trPr>
        <w:tc>
          <w:tcPr>
            <w:tcW w:w="4935" w:type="dxa"/>
          </w:tcPr>
          <w:p w:rsidR="00BC2F9B" w:rsidRPr="00BC2F9B" w:rsidRDefault="00BC2F9B" w:rsidP="00BC2F9B">
            <w:pPr>
              <w:spacing w:after="0" w:line="240" w:lineRule="auto"/>
              <w:ind w:firstLine="567"/>
              <w:jc w:val="center"/>
              <w:rPr>
                <w:rFonts w:ascii="Times New Roman" w:hAnsi="Times New Roman" w:cs="Times New Roman"/>
                <w:sz w:val="20"/>
                <w:szCs w:val="20"/>
              </w:rPr>
            </w:pPr>
            <w:r w:rsidRPr="00BC2F9B">
              <w:rPr>
                <w:rFonts w:ascii="Times New Roman" w:hAnsi="Times New Roman" w:cs="Times New Roman"/>
                <w:sz w:val="20"/>
                <w:szCs w:val="20"/>
              </w:rPr>
              <w:t>Independent Study (IS):</w:t>
            </w:r>
          </w:p>
        </w:tc>
        <w:tc>
          <w:tcPr>
            <w:tcW w:w="4660" w:type="dxa"/>
            <w:shd w:val="clear" w:color="auto" w:fill="auto"/>
          </w:tcPr>
          <w:p w:rsidR="00BC2F9B" w:rsidRPr="00BC2F9B" w:rsidRDefault="00BC2F9B" w:rsidP="00BC2F9B">
            <w:pPr>
              <w:widowControl w:val="0"/>
              <w:autoSpaceDE w:val="0"/>
              <w:autoSpaceDN w:val="0"/>
              <w:spacing w:after="0" w:line="256" w:lineRule="exact"/>
              <w:ind w:left="9"/>
              <w:jc w:val="center"/>
              <w:rPr>
                <w:rFonts w:ascii="Times New Roman" w:eastAsia="Times New Roman" w:hAnsi="Times New Roman" w:cs="Times New Roman"/>
                <w:b/>
                <w:spacing w:val="-2"/>
                <w:sz w:val="20"/>
                <w:szCs w:val="20"/>
                <w:lang w:eastAsia="ru-RU"/>
              </w:rPr>
            </w:pPr>
            <w:r w:rsidRPr="00BC2F9B">
              <w:rPr>
                <w:rFonts w:ascii="Times New Roman" w:eastAsia="Times New Roman" w:hAnsi="Times New Roman" w:cs="Times New Roman"/>
                <w:b/>
                <w:spacing w:val="-2"/>
                <w:sz w:val="20"/>
                <w:szCs w:val="20"/>
                <w:lang w:eastAsia="ru-RU"/>
              </w:rPr>
              <w:t>75</w:t>
            </w:r>
          </w:p>
        </w:tc>
      </w:tr>
      <w:tr w:rsidR="00BC2F9B" w:rsidTr="007720A6">
        <w:trPr>
          <w:trHeight w:val="403"/>
        </w:trPr>
        <w:tc>
          <w:tcPr>
            <w:tcW w:w="4935" w:type="dxa"/>
          </w:tcPr>
          <w:p w:rsidR="00BC2F9B" w:rsidRPr="00BC2F9B" w:rsidRDefault="00BC2F9B" w:rsidP="00BC2F9B">
            <w:pPr>
              <w:spacing w:after="0" w:line="240" w:lineRule="auto"/>
              <w:ind w:firstLine="567"/>
              <w:jc w:val="center"/>
              <w:rPr>
                <w:rFonts w:ascii="Times New Roman" w:hAnsi="Times New Roman" w:cs="Times New Roman"/>
                <w:sz w:val="20"/>
                <w:szCs w:val="20"/>
              </w:rPr>
            </w:pPr>
            <w:r w:rsidRPr="00BC2F9B">
              <w:rPr>
                <w:rStyle w:val="ab"/>
                <w:rFonts w:ascii="Times New Roman" w:hAnsi="Times New Roman" w:cs="Times New Roman"/>
                <w:sz w:val="20"/>
                <w:szCs w:val="20"/>
              </w:rPr>
              <w:t>Total</w:t>
            </w:r>
          </w:p>
        </w:tc>
        <w:tc>
          <w:tcPr>
            <w:tcW w:w="4660" w:type="dxa"/>
            <w:shd w:val="clear" w:color="auto" w:fill="auto"/>
          </w:tcPr>
          <w:p w:rsidR="00BC2F9B" w:rsidRPr="00BC2F9B" w:rsidRDefault="00BC2F9B" w:rsidP="00BC2F9B">
            <w:pPr>
              <w:widowControl w:val="0"/>
              <w:autoSpaceDE w:val="0"/>
              <w:autoSpaceDN w:val="0"/>
              <w:spacing w:after="0" w:line="256" w:lineRule="exact"/>
              <w:ind w:left="9"/>
              <w:jc w:val="center"/>
              <w:rPr>
                <w:rFonts w:ascii="Times New Roman" w:eastAsia="Times New Roman" w:hAnsi="Times New Roman" w:cs="Times New Roman"/>
                <w:b/>
                <w:sz w:val="20"/>
                <w:szCs w:val="20"/>
                <w:lang w:eastAsia="ru-RU"/>
              </w:rPr>
            </w:pPr>
            <w:r w:rsidRPr="00BC2F9B">
              <w:rPr>
                <w:rFonts w:ascii="Times New Roman" w:eastAsia="Times New Roman" w:hAnsi="Times New Roman" w:cs="Times New Roman"/>
                <w:b/>
                <w:sz w:val="20"/>
                <w:szCs w:val="20"/>
                <w:lang w:eastAsia="ru-RU"/>
              </w:rPr>
              <w:t>135</w:t>
            </w:r>
          </w:p>
        </w:tc>
      </w:tr>
      <w:tr w:rsidR="00BC2F9B" w:rsidTr="00EB2D3F">
        <w:trPr>
          <w:trHeight w:val="403"/>
        </w:trPr>
        <w:tc>
          <w:tcPr>
            <w:tcW w:w="9595" w:type="dxa"/>
            <w:gridSpan w:val="2"/>
          </w:tcPr>
          <w:p w:rsidR="00BC2F9B" w:rsidRPr="00BC2F9B" w:rsidRDefault="00BC2F9B" w:rsidP="00EB2D3F">
            <w:pPr>
              <w:widowControl w:val="0"/>
              <w:autoSpaceDE w:val="0"/>
              <w:autoSpaceDN w:val="0"/>
              <w:spacing w:after="0" w:line="240" w:lineRule="auto"/>
              <w:ind w:firstLine="567"/>
              <w:jc w:val="center"/>
              <w:rPr>
                <w:rFonts w:ascii="Times New Roman" w:hAnsi="Times New Roman" w:cs="Times New Roman"/>
                <w:b/>
                <w:sz w:val="20"/>
                <w:szCs w:val="20"/>
                <w:lang w:val="en-US"/>
              </w:rPr>
            </w:pPr>
            <w:r w:rsidRPr="00BC2F9B">
              <w:rPr>
                <w:rStyle w:val="ab"/>
                <w:rFonts w:ascii="Times New Roman" w:hAnsi="Times New Roman" w:cs="Times New Roman"/>
                <w:sz w:val="20"/>
                <w:szCs w:val="20"/>
              </w:rPr>
              <w:t>Part-time form of study</w:t>
            </w:r>
          </w:p>
        </w:tc>
      </w:tr>
      <w:tr w:rsidR="00BC2F9B" w:rsidTr="00BC2F9B">
        <w:trPr>
          <w:trHeight w:val="274"/>
        </w:trPr>
        <w:tc>
          <w:tcPr>
            <w:tcW w:w="4935" w:type="dxa"/>
          </w:tcPr>
          <w:p w:rsidR="00BC2F9B" w:rsidRPr="00BC2F9B" w:rsidRDefault="00BC2F9B" w:rsidP="00EB2D3F">
            <w:pPr>
              <w:spacing w:after="0" w:line="240" w:lineRule="auto"/>
              <w:ind w:firstLine="567"/>
              <w:jc w:val="center"/>
              <w:rPr>
                <w:rFonts w:ascii="Times New Roman" w:hAnsi="Times New Roman" w:cs="Times New Roman"/>
                <w:sz w:val="20"/>
                <w:szCs w:val="20"/>
              </w:rPr>
            </w:pPr>
            <w:r w:rsidRPr="00BC2F9B">
              <w:rPr>
                <w:rFonts w:ascii="Times New Roman" w:hAnsi="Times New Roman" w:cs="Times New Roman"/>
                <w:sz w:val="20"/>
                <w:szCs w:val="20"/>
              </w:rPr>
              <w:t>Lectures:</w:t>
            </w:r>
          </w:p>
        </w:tc>
        <w:tc>
          <w:tcPr>
            <w:tcW w:w="4660" w:type="dxa"/>
          </w:tcPr>
          <w:p w:rsidR="00BC2F9B" w:rsidRPr="00BC2F9B" w:rsidRDefault="00BC2F9B" w:rsidP="00EB2D3F">
            <w:pPr>
              <w:widowControl w:val="0"/>
              <w:autoSpaceDE w:val="0"/>
              <w:autoSpaceDN w:val="0"/>
              <w:spacing w:after="0" w:line="240" w:lineRule="auto"/>
              <w:ind w:firstLine="567"/>
              <w:jc w:val="center"/>
              <w:rPr>
                <w:rFonts w:ascii="Times New Roman" w:hAnsi="Times New Roman" w:cs="Times New Roman"/>
                <w:b/>
                <w:sz w:val="20"/>
                <w:szCs w:val="20"/>
                <w:lang w:val="en-US"/>
              </w:rPr>
            </w:pPr>
            <w:r w:rsidRPr="00BC2F9B">
              <w:rPr>
                <w:rFonts w:ascii="Times New Roman" w:hAnsi="Times New Roman" w:cs="Times New Roman"/>
                <w:b/>
                <w:sz w:val="20"/>
                <w:szCs w:val="20"/>
                <w:lang w:val="en-US"/>
              </w:rPr>
              <w:t>-</w:t>
            </w:r>
          </w:p>
        </w:tc>
      </w:tr>
      <w:tr w:rsidR="00BC2F9B" w:rsidTr="00EB2D3F">
        <w:trPr>
          <w:trHeight w:val="403"/>
        </w:trPr>
        <w:tc>
          <w:tcPr>
            <w:tcW w:w="4935" w:type="dxa"/>
          </w:tcPr>
          <w:p w:rsidR="00BC2F9B" w:rsidRPr="00BC2F9B" w:rsidRDefault="00BC2F9B" w:rsidP="00EB2D3F">
            <w:pPr>
              <w:spacing w:after="0" w:line="240" w:lineRule="auto"/>
              <w:ind w:firstLine="567"/>
              <w:jc w:val="center"/>
              <w:rPr>
                <w:rFonts w:ascii="Times New Roman" w:hAnsi="Times New Roman" w:cs="Times New Roman"/>
                <w:sz w:val="20"/>
                <w:szCs w:val="20"/>
              </w:rPr>
            </w:pPr>
            <w:r w:rsidRPr="00BC2F9B">
              <w:rPr>
                <w:rFonts w:ascii="Times New Roman" w:hAnsi="Times New Roman" w:cs="Times New Roman"/>
                <w:sz w:val="20"/>
                <w:szCs w:val="20"/>
              </w:rPr>
              <w:t>Practical Classes:</w:t>
            </w:r>
          </w:p>
        </w:tc>
        <w:tc>
          <w:tcPr>
            <w:tcW w:w="4660" w:type="dxa"/>
          </w:tcPr>
          <w:p w:rsidR="00BC2F9B" w:rsidRPr="00BC2F9B" w:rsidRDefault="00BC2F9B" w:rsidP="00EB2D3F">
            <w:pPr>
              <w:widowControl w:val="0"/>
              <w:autoSpaceDE w:val="0"/>
              <w:autoSpaceDN w:val="0"/>
              <w:spacing w:after="0" w:line="240" w:lineRule="auto"/>
              <w:ind w:firstLine="567"/>
              <w:jc w:val="center"/>
              <w:rPr>
                <w:rFonts w:ascii="Times New Roman" w:hAnsi="Times New Roman" w:cs="Times New Roman"/>
                <w:b/>
                <w:sz w:val="20"/>
                <w:szCs w:val="20"/>
                <w:lang w:val="en-US"/>
              </w:rPr>
            </w:pPr>
            <w:r w:rsidRPr="00BC2F9B">
              <w:rPr>
                <w:rFonts w:ascii="Times New Roman" w:hAnsi="Times New Roman" w:cs="Times New Roman"/>
                <w:b/>
                <w:sz w:val="20"/>
                <w:szCs w:val="20"/>
                <w:lang w:val="en-US"/>
              </w:rPr>
              <w:t>-</w:t>
            </w:r>
          </w:p>
        </w:tc>
      </w:tr>
      <w:tr w:rsidR="00BC2F9B" w:rsidTr="00EB2D3F">
        <w:trPr>
          <w:trHeight w:val="403"/>
        </w:trPr>
        <w:tc>
          <w:tcPr>
            <w:tcW w:w="4935" w:type="dxa"/>
          </w:tcPr>
          <w:p w:rsidR="00BC2F9B" w:rsidRPr="00BC2F9B" w:rsidRDefault="00BC2F9B" w:rsidP="00EB2D3F">
            <w:pPr>
              <w:spacing w:after="0" w:line="240" w:lineRule="auto"/>
              <w:ind w:firstLine="567"/>
              <w:jc w:val="center"/>
              <w:rPr>
                <w:rFonts w:ascii="Times New Roman" w:hAnsi="Times New Roman" w:cs="Times New Roman"/>
                <w:sz w:val="20"/>
                <w:szCs w:val="20"/>
              </w:rPr>
            </w:pPr>
            <w:r w:rsidRPr="00BC2F9B">
              <w:rPr>
                <w:rFonts w:ascii="Times New Roman" w:hAnsi="Times New Roman" w:cs="Times New Roman"/>
                <w:sz w:val="20"/>
                <w:szCs w:val="20"/>
              </w:rPr>
              <w:t>Independent Study (IS):</w:t>
            </w:r>
          </w:p>
        </w:tc>
        <w:tc>
          <w:tcPr>
            <w:tcW w:w="4660" w:type="dxa"/>
          </w:tcPr>
          <w:p w:rsidR="00BC2F9B" w:rsidRPr="00BC2F9B" w:rsidRDefault="00BC2F9B" w:rsidP="00EB2D3F">
            <w:pPr>
              <w:widowControl w:val="0"/>
              <w:autoSpaceDE w:val="0"/>
              <w:autoSpaceDN w:val="0"/>
              <w:spacing w:after="0" w:line="240" w:lineRule="auto"/>
              <w:ind w:firstLine="567"/>
              <w:jc w:val="center"/>
              <w:rPr>
                <w:rFonts w:ascii="Times New Roman" w:hAnsi="Times New Roman" w:cs="Times New Roman"/>
                <w:b/>
                <w:sz w:val="20"/>
                <w:szCs w:val="20"/>
                <w:lang w:val="en-US"/>
              </w:rPr>
            </w:pPr>
            <w:r w:rsidRPr="00BC2F9B">
              <w:rPr>
                <w:rFonts w:ascii="Times New Roman" w:hAnsi="Times New Roman" w:cs="Times New Roman"/>
                <w:b/>
                <w:sz w:val="20"/>
                <w:szCs w:val="20"/>
                <w:lang w:val="en-US"/>
              </w:rPr>
              <w:t>135</w:t>
            </w:r>
          </w:p>
        </w:tc>
      </w:tr>
      <w:tr w:rsidR="00BC2F9B" w:rsidTr="00EB2D3F">
        <w:trPr>
          <w:trHeight w:val="403"/>
        </w:trPr>
        <w:tc>
          <w:tcPr>
            <w:tcW w:w="4935" w:type="dxa"/>
          </w:tcPr>
          <w:p w:rsidR="00BC2F9B" w:rsidRDefault="00BC2F9B" w:rsidP="00EB2D3F">
            <w:pPr>
              <w:spacing w:after="0" w:line="240" w:lineRule="auto"/>
              <w:ind w:firstLine="567"/>
              <w:jc w:val="center"/>
              <w:rPr>
                <w:rFonts w:ascii="Times New Roman" w:hAnsi="Times New Roman" w:cs="Times New Roman"/>
                <w:sz w:val="20"/>
                <w:szCs w:val="20"/>
              </w:rPr>
            </w:pPr>
            <w:r>
              <w:rPr>
                <w:rStyle w:val="ab"/>
                <w:rFonts w:ascii="Times New Roman" w:hAnsi="Times New Roman" w:cs="Times New Roman"/>
                <w:sz w:val="20"/>
                <w:szCs w:val="20"/>
              </w:rPr>
              <w:t>Total</w:t>
            </w:r>
          </w:p>
        </w:tc>
        <w:tc>
          <w:tcPr>
            <w:tcW w:w="4660" w:type="dxa"/>
          </w:tcPr>
          <w:p w:rsidR="00BC2F9B" w:rsidRDefault="00BC2F9B" w:rsidP="00EB2D3F">
            <w:pPr>
              <w:widowControl w:val="0"/>
              <w:autoSpaceDE w:val="0"/>
              <w:autoSpaceDN w:val="0"/>
              <w:spacing w:after="0" w:line="240" w:lineRule="auto"/>
              <w:ind w:firstLine="567"/>
              <w:jc w:val="center"/>
              <w:rPr>
                <w:rFonts w:ascii="Times New Roman" w:hAnsi="Times New Roman" w:cs="Times New Roman"/>
                <w:b/>
                <w:sz w:val="20"/>
                <w:szCs w:val="20"/>
                <w:lang w:val="en-US"/>
              </w:rPr>
            </w:pPr>
            <w:r>
              <w:rPr>
                <w:rFonts w:ascii="Times New Roman" w:hAnsi="Times New Roman" w:cs="Times New Roman"/>
                <w:b/>
                <w:sz w:val="20"/>
                <w:szCs w:val="20"/>
                <w:lang w:val="en-US"/>
              </w:rPr>
              <w:t>135</w:t>
            </w:r>
          </w:p>
        </w:tc>
      </w:tr>
    </w:tbl>
    <w:p w:rsidR="00BC2F9B" w:rsidRDefault="00BC2F9B" w:rsidP="002B1BB5">
      <w:pPr>
        <w:pStyle w:val="aa"/>
        <w:spacing w:before="0" w:beforeAutospacing="0" w:after="0" w:afterAutospacing="0" w:line="276" w:lineRule="auto"/>
        <w:ind w:firstLine="567"/>
        <w:rPr>
          <w:b/>
          <w:color w:val="000000"/>
          <w:lang w:val="en-US"/>
        </w:rPr>
      </w:pPr>
    </w:p>
    <w:p w:rsidR="0059160A" w:rsidRDefault="0059160A">
      <w:pPr>
        <w:widowControl w:val="0"/>
        <w:tabs>
          <w:tab w:val="left" w:pos="862"/>
        </w:tabs>
        <w:autoSpaceDE w:val="0"/>
        <w:autoSpaceDN w:val="0"/>
        <w:spacing w:before="1" w:after="0" w:line="240" w:lineRule="auto"/>
        <w:jc w:val="both"/>
        <w:rPr>
          <w:rFonts w:ascii="Times New Roman" w:eastAsia="Times New Roman" w:hAnsi="Times New Roman" w:cs="Times New Roman"/>
          <w:b/>
          <w:color w:val="0000FF"/>
          <w:sz w:val="24"/>
          <w:szCs w:val="24"/>
        </w:rPr>
      </w:pPr>
    </w:p>
    <w:p w:rsidR="0059160A" w:rsidRPr="00BC2F9B" w:rsidRDefault="0087327D">
      <w:pPr>
        <w:widowControl w:val="0"/>
        <w:numPr>
          <w:ilvl w:val="0"/>
          <w:numId w:val="4"/>
        </w:numPr>
        <w:tabs>
          <w:tab w:val="left" w:pos="862"/>
        </w:tabs>
        <w:autoSpaceDE w:val="0"/>
        <w:autoSpaceDN w:val="0"/>
        <w:spacing w:after="0" w:line="240" w:lineRule="auto"/>
        <w:ind w:firstLine="567"/>
        <w:jc w:val="both"/>
        <w:rPr>
          <w:rFonts w:ascii="Times New Roman" w:eastAsia="Times New Roman" w:hAnsi="Times New Roman" w:cs="Times New Roman"/>
          <w:b/>
          <w:color w:val="0000FF"/>
          <w:sz w:val="24"/>
          <w:szCs w:val="24"/>
        </w:rPr>
      </w:pPr>
      <w:r>
        <w:rPr>
          <w:rFonts w:ascii="Times New Roman" w:eastAsia="Times New Roman" w:hAnsi="Times New Roman" w:cs="Times New Roman"/>
          <w:b/>
          <w:sz w:val="24"/>
          <w:szCs w:val="24"/>
          <w:lang w:val="en-US" w:eastAsia="ru-RU"/>
        </w:rPr>
        <w:t>THEMATIC PLAN</w:t>
      </w:r>
    </w:p>
    <w:p w:rsidR="00BC2F9B" w:rsidRDefault="00BC2F9B" w:rsidP="00BC2F9B">
      <w:pPr>
        <w:widowControl w:val="0"/>
        <w:tabs>
          <w:tab w:val="left" w:pos="862"/>
        </w:tabs>
        <w:autoSpaceDE w:val="0"/>
        <w:autoSpaceDN w:val="0"/>
        <w:spacing w:after="0" w:line="240" w:lineRule="auto"/>
        <w:jc w:val="both"/>
        <w:rPr>
          <w:rFonts w:ascii="Times New Roman" w:eastAsia="Times New Roman" w:hAnsi="Times New Roman" w:cs="Times New Roman"/>
          <w:b/>
          <w:color w:val="0000F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8968"/>
      </w:tblGrid>
      <w:tr w:rsidR="00BC2F9B" w:rsidRPr="00BC2F9B" w:rsidTr="00BC2F9B">
        <w:trPr>
          <w:cantSplit/>
          <w:trHeight w:val="710"/>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jc w:val="center"/>
              <w:rPr>
                <w:rFonts w:ascii="Times New Roman" w:hAnsi="Times New Roman" w:cs="Times New Roman"/>
                <w:b/>
                <w:sz w:val="20"/>
                <w:szCs w:val="20"/>
              </w:rPr>
            </w:pPr>
            <w:r w:rsidRPr="00BC2F9B">
              <w:rPr>
                <w:rFonts w:ascii="Times New Roman" w:hAnsi="Times New Roman" w:cs="Times New Roman"/>
                <w:b/>
                <w:sz w:val="20"/>
                <w:szCs w:val="20"/>
              </w:rPr>
              <w:t>№</w:t>
            </w: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jc w:val="center"/>
              <w:rPr>
                <w:rFonts w:ascii="Times New Roman" w:hAnsi="Times New Roman" w:cs="Times New Roman"/>
                <w:b/>
                <w:sz w:val="20"/>
                <w:szCs w:val="20"/>
              </w:rPr>
            </w:pPr>
            <w:r w:rsidRPr="00BC2F9B">
              <w:rPr>
                <w:rFonts w:ascii="Times New Roman" w:hAnsi="Times New Roman" w:cs="Times New Roman"/>
                <w:b/>
                <w:sz w:val="20"/>
                <w:szCs w:val="20"/>
              </w:rPr>
              <w:t>Topic Titles</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the prescription-based dispensing of medicinal products. Specifics regarding the dispensing of reimbursable medicinal products to outpatients.</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operations in the prescription and compounding department. Record-keeping for prescriptions. Rules for the compounding of medicinal products within a pharmacy setting.</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Quality control of medicinal products in pharmacy establishments.</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operations in the inventory department. Organization of incoming quality control for medicinal products. Automation of inventory management.</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operations in the over-the-counter (OTC) dispensing department.</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primary documentation and accounting in pharmacies. Structure of external financial reporting for pharmacies.</w:t>
            </w:r>
          </w:p>
        </w:tc>
      </w:tr>
      <w:tr w:rsidR="00BC2F9B" w:rsidRPr="00BC2F9B" w:rsidTr="00BC2F9B">
        <w:trPr>
          <w:trHeight w:val="257"/>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Structure of accounts. The double-entry bookkeeping method for business transactions. The chart of accounts and its relationship to financial statements.</w:t>
            </w:r>
          </w:p>
        </w:tc>
      </w:tr>
      <w:tr w:rsidR="00BC2F9B" w:rsidRPr="00BC2F9B" w:rsidTr="00BC2F9B">
        <w:trPr>
          <w:trHeight w:val="257"/>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accounting for the movement of inventories (goods and materials) in a pharmacy.</w:t>
            </w:r>
          </w:p>
        </w:tc>
      </w:tr>
      <w:tr w:rsidR="00BC2F9B" w:rsidRPr="00BC2F9B" w:rsidTr="00BC2F9B">
        <w:trPr>
          <w:trHeight w:val="257"/>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labor and payroll accounting.</w:t>
            </w:r>
          </w:p>
        </w:tc>
      </w:tr>
      <w:tr w:rsidR="00BC2F9B" w:rsidRPr="00BC2F9B" w:rsidTr="00BC2F9B">
        <w:trPr>
          <w:trHeight w:val="257"/>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Incentive and compensation payments for pharmacy employees.</w:t>
            </w:r>
          </w:p>
        </w:tc>
      </w:tr>
      <w:tr w:rsidR="00BC2F9B" w:rsidRPr="00BC2F9B" w:rsidTr="00BC2F9B">
        <w:trPr>
          <w:trHeight w:val="221"/>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Pricing rules for finished medicinal products. State regulation of pricing for medicinal products, medical supplies, and related goods.</w:t>
            </w:r>
          </w:p>
        </w:tc>
      </w:tr>
      <w:tr w:rsidR="00BC2F9B" w:rsidRPr="00BC2F9B" w:rsidTr="00BC2F9B">
        <w:trPr>
          <w:trHeight w:val="221"/>
        </w:trPr>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Organization of accounting for the movement of cash and cash equivalents in a pharmacy enterprise. Accounting for cash transactions in a current (bank) account.</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Inventory taking (stocktaking) of goods and materials in a pharmacy.</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Financial results of a pharmacy enterprise (profit and profitability).</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Analysis of the solvency and creditworthiness of pharmacies.</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Assessment of the financial stability margin (safety margin) of pharmacies.</w:t>
            </w:r>
          </w:p>
        </w:tc>
      </w:tr>
      <w:tr w:rsidR="00BC2F9B" w:rsidRPr="00BC2F9B" w:rsidTr="00BC2F9B">
        <w:tc>
          <w:tcPr>
            <w:tcW w:w="343"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pStyle w:val="ac"/>
              <w:numPr>
                <w:ilvl w:val="0"/>
                <w:numId w:val="9"/>
              </w:numPr>
              <w:spacing w:after="0" w:line="240" w:lineRule="auto"/>
              <w:rPr>
                <w:rFonts w:ascii="Times New Roman" w:eastAsia="MS Mincho" w:hAnsi="Times New Roman" w:cs="Times New Roman"/>
                <w:sz w:val="20"/>
                <w:szCs w:val="20"/>
              </w:rPr>
            </w:pPr>
          </w:p>
        </w:tc>
        <w:tc>
          <w:tcPr>
            <w:tcW w:w="4657" w:type="pct"/>
            <w:tcBorders>
              <w:top w:val="single" w:sz="4" w:space="0" w:color="auto"/>
              <w:left w:val="single" w:sz="4" w:space="0" w:color="auto"/>
              <w:bottom w:val="single" w:sz="4" w:space="0" w:color="auto"/>
              <w:right w:val="single" w:sz="4" w:space="0" w:color="auto"/>
            </w:tcBorders>
          </w:tcPr>
          <w:p w:rsidR="00BC2F9B" w:rsidRPr="00BC2F9B" w:rsidRDefault="00BC2F9B" w:rsidP="00BC2F9B">
            <w:pPr>
              <w:spacing w:after="0" w:line="240" w:lineRule="auto"/>
              <w:rPr>
                <w:rFonts w:ascii="Times New Roman" w:hAnsi="Times New Roman" w:cs="Times New Roman"/>
                <w:sz w:val="20"/>
                <w:szCs w:val="20"/>
              </w:rPr>
            </w:pPr>
            <w:r w:rsidRPr="00BC2F9B">
              <w:rPr>
                <w:rFonts w:ascii="Times New Roman" w:hAnsi="Times New Roman" w:cs="Times New Roman"/>
                <w:sz w:val="20"/>
                <w:szCs w:val="20"/>
              </w:rPr>
              <w:t>Differentiated pass/fail exam (graded assessment).</w:t>
            </w:r>
          </w:p>
        </w:tc>
      </w:tr>
      <w:tr w:rsidR="00BC2F9B" w:rsidRPr="00BC2F9B" w:rsidTr="00BC2F9B">
        <w:tc>
          <w:tcPr>
            <w:tcW w:w="5000" w:type="pct"/>
            <w:gridSpan w:val="2"/>
            <w:tcBorders>
              <w:top w:val="single" w:sz="4" w:space="0" w:color="auto"/>
              <w:left w:val="single" w:sz="4" w:space="0" w:color="auto"/>
              <w:bottom w:val="single" w:sz="4" w:space="0" w:color="auto"/>
              <w:right w:val="single" w:sz="4" w:space="0" w:color="auto"/>
            </w:tcBorders>
          </w:tcPr>
          <w:p w:rsidR="00BC2F9B" w:rsidRPr="00BC2F9B" w:rsidRDefault="00BC2F9B" w:rsidP="00BC2F9B">
            <w:pPr>
              <w:keepNext/>
              <w:autoSpaceDE w:val="0"/>
              <w:autoSpaceDN w:val="0"/>
              <w:adjustRightInd w:val="0"/>
              <w:spacing w:after="0" w:line="240" w:lineRule="auto"/>
              <w:rPr>
                <w:rFonts w:ascii="Times New Roman" w:hAnsi="Times New Roman" w:cs="Times New Roman"/>
                <w:sz w:val="20"/>
                <w:szCs w:val="20"/>
                <w:lang w:val="en-US"/>
              </w:rPr>
            </w:pPr>
            <w:r w:rsidRPr="00BC2F9B">
              <w:rPr>
                <w:rFonts w:ascii="Times New Roman" w:hAnsi="Times New Roman" w:cs="Times New Roman"/>
                <w:sz w:val="20"/>
                <w:szCs w:val="20"/>
                <w:lang w:val="en-US"/>
              </w:rPr>
              <w:t>Total</w:t>
            </w:r>
          </w:p>
        </w:tc>
      </w:tr>
    </w:tbl>
    <w:p w:rsidR="00BC2F9B" w:rsidRDefault="00BC2F9B" w:rsidP="00BC2F9B">
      <w:pPr>
        <w:widowControl w:val="0"/>
        <w:tabs>
          <w:tab w:val="left" w:pos="862"/>
        </w:tabs>
        <w:autoSpaceDE w:val="0"/>
        <w:autoSpaceDN w:val="0"/>
        <w:spacing w:after="0" w:line="240" w:lineRule="auto"/>
        <w:jc w:val="both"/>
        <w:rPr>
          <w:rFonts w:ascii="Times New Roman" w:eastAsia="Times New Roman" w:hAnsi="Times New Roman" w:cs="Times New Roman"/>
          <w:b/>
          <w:color w:val="0000FF"/>
          <w:sz w:val="24"/>
          <w:szCs w:val="24"/>
        </w:rPr>
      </w:pPr>
    </w:p>
    <w:p w:rsidR="0059160A" w:rsidRDefault="0059160A">
      <w:pPr>
        <w:widowControl w:val="0"/>
        <w:autoSpaceDE w:val="0"/>
        <w:autoSpaceDN w:val="0"/>
        <w:spacing w:after="0" w:line="240" w:lineRule="auto"/>
        <w:rPr>
          <w:rFonts w:ascii="Times New Roman" w:eastAsia="Times New Roman" w:hAnsi="Times New Roman" w:cs="Times New Roman"/>
          <w:b/>
          <w:color w:val="0000FF"/>
          <w:sz w:val="24"/>
          <w:szCs w:val="24"/>
        </w:rPr>
      </w:pPr>
    </w:p>
    <w:p w:rsidR="00BC2F9B" w:rsidRDefault="00BC2F9B">
      <w:pPr>
        <w:widowControl w:val="0"/>
        <w:autoSpaceDE w:val="0"/>
        <w:autoSpaceDN w:val="0"/>
        <w:spacing w:after="0" w:line="240" w:lineRule="auto"/>
        <w:rPr>
          <w:rFonts w:ascii="Times New Roman" w:eastAsia="Times New Roman" w:hAnsi="Times New Roman" w:cs="Times New Roman"/>
          <w:b/>
          <w:color w:val="0000FF"/>
          <w:sz w:val="24"/>
          <w:szCs w:val="24"/>
        </w:rPr>
      </w:pPr>
    </w:p>
    <w:p w:rsidR="0059160A" w:rsidRDefault="0087327D">
      <w:pPr>
        <w:widowControl w:val="0"/>
        <w:autoSpaceDE w:val="0"/>
        <w:autoSpaceDN w:val="0"/>
        <w:spacing w:before="22" w:after="0" w:line="240" w:lineRule="auto"/>
        <w:ind w:firstLine="567"/>
        <w:rPr>
          <w:rFonts w:ascii="Times New Roman" w:hAnsi="Times New Roman" w:cs="Times New Roman"/>
          <w:color w:val="0000FF"/>
          <w:sz w:val="24"/>
          <w:szCs w:val="24"/>
          <w:lang w:val="en-US"/>
        </w:rPr>
      </w:pPr>
      <w:r>
        <w:rPr>
          <w:rFonts w:ascii="Times New Roman" w:eastAsia="Times New Roman" w:hAnsi="Times New Roman" w:cs="Times New Roman"/>
          <w:b/>
          <w:sz w:val="24"/>
          <w:szCs w:val="24"/>
        </w:rPr>
        <w:lastRenderedPageBreak/>
        <w:t xml:space="preserve">5. </w:t>
      </w:r>
      <w:r>
        <w:rPr>
          <w:rStyle w:val="ab"/>
          <w:rFonts w:ascii="Times New Roman" w:hAnsi="Times New Roman" w:cs="Times New Roman"/>
          <w:sz w:val="24"/>
          <w:szCs w:val="24"/>
          <w:lang w:val="en-US"/>
        </w:rPr>
        <w:t>FORMS AND METHODS OF ASSESSMENT OF LEARNING OUTCOMES</w:t>
      </w:r>
    </w:p>
    <w:tbl>
      <w:tblPr>
        <w:tblW w:w="9634"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809"/>
        <w:gridCol w:w="7825"/>
      </w:tblGrid>
      <w:tr w:rsidR="0059160A">
        <w:trPr>
          <w:jc w:val="center"/>
        </w:trPr>
        <w:tc>
          <w:tcPr>
            <w:tcW w:w="1809" w:type="dxa"/>
          </w:tcPr>
          <w:p w:rsidR="0059160A" w:rsidRDefault="0087327D">
            <w:pPr>
              <w:pStyle w:val="aa"/>
              <w:spacing w:before="0" w:beforeAutospacing="0" w:after="0" w:afterAutospacing="0"/>
              <w:rPr>
                <w:sz w:val="20"/>
                <w:szCs w:val="20"/>
                <w:lang w:val="uk-UA"/>
              </w:rPr>
            </w:pPr>
            <w:r>
              <w:rPr>
                <w:rStyle w:val="ab"/>
                <w:sz w:val="20"/>
                <w:szCs w:val="20"/>
                <w:lang w:val="en-US"/>
              </w:rPr>
              <w:t>Ongoing Assessment during Practical Classes</w:t>
            </w:r>
          </w:p>
        </w:tc>
        <w:tc>
          <w:tcPr>
            <w:tcW w:w="7825" w:type="dxa"/>
          </w:tcPr>
          <w:p w:rsidR="0059160A" w:rsidRDefault="0087327D">
            <w:pPr>
              <w:pStyle w:val="aa"/>
              <w:spacing w:before="0" w:beforeAutospacing="0" w:after="0" w:afterAutospacing="0"/>
              <w:jc w:val="both"/>
              <w:rPr>
                <w:sz w:val="20"/>
                <w:szCs w:val="20"/>
                <w:lang w:val="en-US"/>
              </w:rPr>
            </w:pPr>
            <w:r>
              <w:rPr>
                <w:rStyle w:val="ab"/>
                <w:b w:val="0"/>
                <w:sz w:val="20"/>
                <w:szCs w:val="20"/>
                <w:lang w:val="en-US"/>
              </w:rPr>
              <w:t>Methods:</w:t>
            </w:r>
            <w:r>
              <w:rPr>
                <w:sz w:val="20"/>
                <w:szCs w:val="20"/>
                <w:lang w:val="en-US"/>
              </w:rPr>
              <w:t xml:space="preserve"> oral and/or written assessment and testing, computer-based assessment and testing, completion of situational tasks.</w:t>
            </w:r>
          </w:p>
          <w:p w:rsidR="0059160A" w:rsidRDefault="0059160A">
            <w:pPr>
              <w:widowControl w:val="0"/>
              <w:autoSpaceDE w:val="0"/>
              <w:autoSpaceDN w:val="0"/>
              <w:spacing w:after="0" w:line="240" w:lineRule="auto"/>
              <w:ind w:right="133"/>
              <w:rPr>
                <w:rFonts w:ascii="Times New Roman" w:eastAsia="Times New Roman" w:hAnsi="Times New Roman" w:cs="Times New Roman"/>
                <w:sz w:val="20"/>
                <w:szCs w:val="20"/>
                <w:lang w:val="en-US"/>
              </w:rPr>
            </w:pPr>
          </w:p>
        </w:tc>
      </w:tr>
      <w:tr w:rsidR="0059160A">
        <w:trPr>
          <w:jc w:val="center"/>
        </w:trPr>
        <w:tc>
          <w:tcPr>
            <w:tcW w:w="1809" w:type="dxa"/>
          </w:tcPr>
          <w:p w:rsidR="0059160A" w:rsidRDefault="0087327D">
            <w:pPr>
              <w:pStyle w:val="aa"/>
              <w:spacing w:before="0" w:beforeAutospacing="0" w:after="0" w:afterAutospacing="0"/>
              <w:rPr>
                <w:sz w:val="20"/>
                <w:szCs w:val="20"/>
                <w:lang w:val="en-US"/>
              </w:rPr>
            </w:pPr>
            <w:r>
              <w:rPr>
                <w:rStyle w:val="ab"/>
                <w:sz w:val="20"/>
                <w:szCs w:val="20"/>
                <w:lang w:val="en-US"/>
              </w:rPr>
              <w:t>Final Assessment of the Academic Discipline – Pass/Fail Assessment</w:t>
            </w:r>
          </w:p>
        </w:tc>
        <w:tc>
          <w:tcPr>
            <w:tcW w:w="7825" w:type="dxa"/>
          </w:tcPr>
          <w:p w:rsidR="0059160A" w:rsidRDefault="0087327D">
            <w:pPr>
              <w:pStyle w:val="aa"/>
              <w:spacing w:before="0" w:beforeAutospacing="0" w:after="0" w:afterAutospacing="0"/>
              <w:jc w:val="both"/>
              <w:rPr>
                <w:sz w:val="20"/>
                <w:szCs w:val="20"/>
                <w:lang w:val="en-US"/>
              </w:rPr>
            </w:pPr>
            <w:r>
              <w:rPr>
                <w:sz w:val="20"/>
                <w:szCs w:val="20"/>
                <w:lang w:val="en-US"/>
              </w:rPr>
              <w:t xml:space="preserve">It is conducted during the final practical class and is determined on the basis of the student’s ongoing academic performance in accordance with the </w:t>
            </w:r>
            <w:r>
              <w:rPr>
                <w:rStyle w:val="ab"/>
                <w:b w:val="0"/>
                <w:sz w:val="20"/>
                <w:szCs w:val="20"/>
                <w:lang w:val="en-US"/>
              </w:rPr>
              <w:t>Regulations on the Organisation of the Educational Process at National Pirogov Memorial Medical University, Vinnytsia</w:t>
            </w:r>
            <w:r>
              <w:rPr>
                <w:b/>
                <w:sz w:val="20"/>
                <w:szCs w:val="20"/>
                <w:lang w:val="en-US"/>
              </w:rPr>
              <w:t>:</w:t>
            </w:r>
          </w:p>
          <w:p w:rsidR="0059160A" w:rsidRDefault="008C610B">
            <w:pPr>
              <w:pStyle w:val="aa"/>
              <w:spacing w:before="0" w:beforeAutospacing="0" w:after="0" w:afterAutospacing="0"/>
              <w:rPr>
                <w:sz w:val="20"/>
                <w:szCs w:val="20"/>
                <w:lang w:val="en-US"/>
              </w:rPr>
            </w:pPr>
            <w:hyperlink r:id="rId10" w:history="1">
              <w:r w:rsidR="0087327D">
                <w:rPr>
                  <w:rStyle w:val="a9"/>
                  <w:sz w:val="20"/>
                  <w:szCs w:val="20"/>
                  <w:lang w:val="en-US"/>
                </w:rPr>
                <w:t>General Information / Key Documents</w:t>
              </w:r>
            </w:hyperlink>
            <w:r w:rsidR="0087327D">
              <w:rPr>
                <w:sz w:val="20"/>
                <w:szCs w:val="20"/>
                <w:lang w:val="en-US"/>
              </w:rPr>
              <w:t xml:space="preserve"> </w:t>
            </w:r>
            <w:hyperlink r:id="rId11" w:history="1">
              <w:r w:rsidR="0087327D">
                <w:rPr>
                  <w:color w:val="0000FF"/>
                  <w:sz w:val="20"/>
                  <w:szCs w:val="20"/>
                  <w:u w:val="single"/>
                  <w:lang w:val="en-US"/>
                </w:rPr>
                <w:t>https://www.vnmu.edu.ua/downloads/other/polog_organiz_ocv_proc(2026).pdf</w:t>
              </w:r>
            </w:hyperlink>
            <w:r w:rsidR="0087327D">
              <w:rPr>
                <w:sz w:val="20"/>
                <w:szCs w:val="20"/>
                <w:lang w:val="en-US"/>
              </w:rPr>
              <w:t xml:space="preserve">) </w:t>
            </w:r>
          </w:p>
        </w:tc>
      </w:tr>
      <w:tr w:rsidR="0059160A">
        <w:trPr>
          <w:jc w:val="center"/>
        </w:trPr>
        <w:tc>
          <w:tcPr>
            <w:tcW w:w="1809" w:type="dxa"/>
          </w:tcPr>
          <w:p w:rsidR="0059160A" w:rsidRDefault="0087327D">
            <w:pPr>
              <w:pStyle w:val="aa"/>
              <w:spacing w:before="0" w:beforeAutospacing="0" w:after="0" w:afterAutospacing="0"/>
              <w:rPr>
                <w:sz w:val="20"/>
                <w:szCs w:val="20"/>
                <w:lang w:val="en-US"/>
              </w:rPr>
            </w:pPr>
            <w:r>
              <w:rPr>
                <w:sz w:val="20"/>
                <w:szCs w:val="20"/>
                <w:lang w:val="en-US"/>
              </w:rPr>
              <w:t xml:space="preserve">*Final Assessment of the Academic Discipline – </w:t>
            </w:r>
            <w:r>
              <w:rPr>
                <w:rStyle w:val="ab"/>
                <w:sz w:val="20"/>
                <w:szCs w:val="20"/>
                <w:lang w:val="en-US"/>
              </w:rPr>
              <w:t>differentiated assessment</w:t>
            </w:r>
          </w:p>
        </w:tc>
        <w:tc>
          <w:tcPr>
            <w:tcW w:w="7825" w:type="dxa"/>
          </w:tcPr>
          <w:p w:rsidR="0059160A" w:rsidRDefault="0087327D">
            <w:pPr>
              <w:pStyle w:val="aa"/>
              <w:spacing w:before="0" w:beforeAutospacing="0" w:after="0" w:afterAutospacing="0"/>
              <w:jc w:val="both"/>
              <w:rPr>
                <w:sz w:val="20"/>
                <w:szCs w:val="20"/>
                <w:lang w:val="en-US"/>
              </w:rPr>
            </w:pPr>
            <w:r>
              <w:rPr>
                <w:sz w:val="20"/>
                <w:szCs w:val="20"/>
                <w:lang w:val="en-US"/>
              </w:rPr>
              <w:t xml:space="preserve">It is conducted during the final practical class and is assessed in accordance with the </w:t>
            </w:r>
            <w:r>
              <w:rPr>
                <w:rStyle w:val="ab"/>
                <w:b w:val="0"/>
                <w:sz w:val="20"/>
                <w:szCs w:val="20"/>
                <w:lang w:val="en-US"/>
              </w:rPr>
              <w:t>Regulations on the Organisation of the Educational Process at National Pirogov Memorial Medical University, Vinnytsia</w:t>
            </w:r>
            <w:r>
              <w:rPr>
                <w:sz w:val="20"/>
                <w:szCs w:val="20"/>
                <w:lang w:val="en-US"/>
              </w:rPr>
              <w:t>:</w:t>
            </w:r>
            <w:hyperlink r:id="rId12" w:history="1">
              <w:r>
                <w:rPr>
                  <w:rStyle w:val="a9"/>
                  <w:sz w:val="20"/>
                  <w:szCs w:val="20"/>
                  <w:lang w:val="en-US"/>
                </w:rPr>
                <w:t>General Information / Key Documents</w:t>
              </w:r>
            </w:hyperlink>
            <w:r>
              <w:rPr>
                <w:sz w:val="20"/>
                <w:szCs w:val="20"/>
                <w:lang w:val="en-US"/>
              </w:rPr>
              <w:t xml:space="preserve"> </w:t>
            </w:r>
            <w:hyperlink r:id="rId13" w:history="1">
              <w:r>
                <w:rPr>
                  <w:color w:val="0000FF"/>
                  <w:sz w:val="20"/>
                  <w:szCs w:val="20"/>
                  <w:u w:val="single"/>
                  <w:lang w:val="en-US"/>
                </w:rPr>
                <w:t>https://www.vnmu.edu.ua/downloads/other/polog_organiz_ocv_proc(2026).pdf</w:t>
              </w:r>
            </w:hyperlink>
            <w:r>
              <w:rPr>
                <w:sz w:val="20"/>
                <w:szCs w:val="20"/>
                <w:lang w:val="en-US"/>
              </w:rPr>
              <w:t>)</w:t>
            </w:r>
          </w:p>
        </w:tc>
      </w:tr>
      <w:tr w:rsidR="0059160A">
        <w:trPr>
          <w:jc w:val="center"/>
        </w:trPr>
        <w:tc>
          <w:tcPr>
            <w:tcW w:w="1809" w:type="dxa"/>
          </w:tcPr>
          <w:p w:rsidR="0059160A" w:rsidRDefault="0087327D">
            <w:pPr>
              <w:pStyle w:val="aa"/>
              <w:spacing w:before="0" w:beforeAutospacing="0" w:after="0" w:afterAutospacing="0"/>
              <w:rPr>
                <w:sz w:val="20"/>
                <w:szCs w:val="20"/>
              </w:rPr>
            </w:pPr>
            <w:r>
              <w:rPr>
                <w:rStyle w:val="ab"/>
                <w:sz w:val="20"/>
                <w:szCs w:val="20"/>
              </w:rPr>
              <w:t>Assessment Tools for Learning Achievement</w:t>
            </w:r>
          </w:p>
        </w:tc>
        <w:tc>
          <w:tcPr>
            <w:tcW w:w="7825" w:type="dxa"/>
          </w:tcPr>
          <w:p w:rsidR="0059160A" w:rsidRDefault="0087327D">
            <w:pPr>
              <w:pStyle w:val="aa"/>
              <w:spacing w:before="0" w:beforeAutospacing="0" w:after="0" w:afterAutospacing="0"/>
              <w:jc w:val="both"/>
              <w:rPr>
                <w:sz w:val="20"/>
                <w:szCs w:val="20"/>
                <w:lang w:val="en-US"/>
              </w:rPr>
            </w:pPr>
            <w:r>
              <w:rPr>
                <w:sz w:val="20"/>
                <w:szCs w:val="20"/>
                <w:lang w:val="en-US"/>
              </w:rPr>
              <w:t>Theoretical questions, tests, clinically oriented situational tasks, practical assignments, demonstration of practical skills.</w:t>
            </w:r>
          </w:p>
          <w:p w:rsidR="0059160A" w:rsidRDefault="0059160A">
            <w:pPr>
              <w:widowControl w:val="0"/>
              <w:autoSpaceDE w:val="0"/>
              <w:autoSpaceDN w:val="0"/>
              <w:spacing w:after="0" w:line="240" w:lineRule="auto"/>
              <w:ind w:right="133"/>
              <w:jc w:val="both"/>
              <w:rPr>
                <w:rFonts w:ascii="Times New Roman" w:eastAsia="Times New Roman" w:hAnsi="Times New Roman" w:cs="Times New Roman"/>
                <w:sz w:val="20"/>
                <w:szCs w:val="20"/>
                <w:lang w:val="en-US"/>
              </w:rPr>
            </w:pPr>
          </w:p>
        </w:tc>
      </w:tr>
    </w:tbl>
    <w:p w:rsidR="0059160A" w:rsidRDefault="0087327D">
      <w:pPr>
        <w:pStyle w:val="aa"/>
        <w:spacing w:before="0" w:beforeAutospacing="0" w:after="0" w:afterAutospacing="0"/>
        <w:ind w:firstLine="567"/>
        <w:rPr>
          <w:b/>
          <w:bCs/>
          <w:lang w:val="en-US"/>
        </w:rPr>
      </w:pPr>
      <w:bookmarkStart w:id="2" w:name="_Hlk68107395"/>
      <w:r>
        <w:rPr>
          <w:b/>
          <w:bCs/>
          <w:lang w:val="uk-UA"/>
        </w:rPr>
        <w:t xml:space="preserve">6. </w:t>
      </w:r>
      <w:r>
        <w:rPr>
          <w:b/>
          <w:bCs/>
          <w:lang w:val="en-US"/>
        </w:rPr>
        <w:t>ASSESSMENT CRITERIA</w:t>
      </w:r>
    </w:p>
    <w:p w:rsidR="0059160A" w:rsidRDefault="0087327D">
      <w:pPr>
        <w:pStyle w:val="aa"/>
        <w:spacing w:before="0" w:beforeAutospacing="0" w:after="0" w:afterAutospacing="0"/>
        <w:jc w:val="both"/>
      </w:pPr>
      <w:r>
        <w:rPr>
          <w:lang w:val="en-US"/>
        </w:rPr>
        <w:t xml:space="preserve">Assessment of students’ knowledge is carried out in accordance with the current </w:t>
      </w:r>
      <w:r>
        <w:rPr>
          <w:rStyle w:val="ab"/>
          <w:b w:val="0"/>
          <w:lang w:val="en-US"/>
        </w:rPr>
        <w:t>Regulations on the Organisation of the Educational Process at National Pirogov Memorial Medical University, Vinnytsia</w:t>
      </w:r>
      <w:r>
        <w:rPr>
          <w:b/>
          <w:lang w:val="en-US"/>
        </w:rPr>
        <w:t>.</w:t>
      </w:r>
      <w:r>
        <w:rPr>
          <w:b/>
          <w:lang w:val="uk-UA"/>
        </w:rPr>
        <w:t xml:space="preserve"> </w:t>
      </w:r>
      <w:r>
        <w:rPr>
          <w:lang w:val="en-US"/>
        </w:rPr>
        <w:t>(</w:t>
      </w:r>
      <w:hyperlink r:id="rId14" w:history="1">
        <w:r>
          <w:rPr>
            <w:color w:val="0000FF"/>
            <w:u w:val="single"/>
            <w:lang w:val="en-US"/>
          </w:rPr>
          <w:t>ht</w:t>
        </w:r>
        <w:r>
          <w:rPr>
            <w:color w:val="0000FF"/>
            <w:u w:val="single"/>
          </w:rPr>
          <w:t>tps://www.vnmu.edu.ua/downloads/other/polog_organiz_ocv_proc(2026).pdf</w:t>
        </w:r>
      </w:hyperlink>
      <w:r>
        <w:t>)</w:t>
      </w:r>
    </w:p>
    <w:p w:rsidR="0059160A" w:rsidRDefault="0059160A">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5"/>
        <w:gridCol w:w="7793"/>
      </w:tblGrid>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bCs/>
                <w:sz w:val="20"/>
                <w:szCs w:val="20"/>
                <w:lang w:val="ru-RU" w:eastAsia="ru-RU"/>
              </w:rPr>
            </w:pPr>
            <w:r>
              <w:rPr>
                <w:rFonts w:ascii="Times New Roman" w:eastAsia="Times New Roman" w:hAnsi="Times New Roman" w:cs="Times New Roman"/>
                <w:bCs/>
                <w:sz w:val="20"/>
                <w:szCs w:val="20"/>
                <w:lang w:val="ru-RU" w:eastAsia="ru-RU"/>
              </w:rPr>
              <w:t>Type of Assessment</w:t>
            </w:r>
          </w:p>
        </w:tc>
        <w:tc>
          <w:tcPr>
            <w:tcW w:w="0" w:type="auto"/>
            <w:vAlign w:val="center"/>
          </w:tcPr>
          <w:p w:rsidR="0059160A" w:rsidRDefault="0087327D">
            <w:pPr>
              <w:spacing w:after="0" w:line="240" w:lineRule="auto"/>
              <w:jc w:val="center"/>
              <w:rPr>
                <w:rFonts w:ascii="Times New Roman" w:eastAsia="Times New Roman" w:hAnsi="Times New Roman" w:cs="Times New Roman"/>
                <w:bCs/>
                <w:sz w:val="20"/>
                <w:szCs w:val="20"/>
                <w:lang w:val="ru-RU" w:eastAsia="ru-RU"/>
              </w:rPr>
            </w:pPr>
            <w:r>
              <w:rPr>
                <w:rFonts w:ascii="Times New Roman" w:eastAsia="Times New Roman" w:hAnsi="Times New Roman" w:cs="Times New Roman"/>
                <w:bCs/>
                <w:sz w:val="20"/>
                <w:szCs w:val="20"/>
                <w:lang w:val="ru-RU" w:eastAsia="ru-RU"/>
              </w:rPr>
              <w:t>Assessment Criteria / Scale</w:t>
            </w:r>
          </w:p>
        </w:tc>
      </w:tr>
      <w:tr w:rsidR="0059160A">
        <w:trPr>
          <w:tblCellSpacing w:w="15" w:type="dxa"/>
        </w:trPr>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bCs/>
                <w:sz w:val="20"/>
                <w:szCs w:val="20"/>
                <w:lang w:val="ru-RU" w:eastAsia="ru-RU"/>
              </w:rPr>
              <w:t>Ongoing Assessment</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According to the traditional grading scale: </w:t>
            </w:r>
            <w:r>
              <w:rPr>
                <w:rFonts w:ascii="Times New Roman" w:eastAsia="Times New Roman" w:hAnsi="Times New Roman" w:cs="Times New Roman"/>
                <w:bCs/>
                <w:sz w:val="20"/>
                <w:szCs w:val="20"/>
                <w:lang w:val="en-US" w:eastAsia="ru-RU"/>
              </w:rPr>
              <w:t>5 – “Excellent”, 4 – “Good”, 3 – “Satisfactory”, 2 – “Unsatisfactory”</w:t>
            </w:r>
          </w:p>
        </w:tc>
      </w:tr>
      <w:tr w:rsidR="0059160A">
        <w:trPr>
          <w:tblCellSpacing w:w="15" w:type="dxa"/>
        </w:trPr>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bCs/>
                <w:sz w:val="20"/>
                <w:szCs w:val="20"/>
                <w:lang w:val="ru-RU" w:eastAsia="ru-RU"/>
              </w:rPr>
              <w:t>Interim Assessments</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According to the traditional grading scale</w:t>
            </w:r>
          </w:p>
        </w:tc>
      </w:tr>
      <w:tr w:rsidR="0059160A">
        <w:trPr>
          <w:tblCellSpacing w:w="15" w:type="dxa"/>
        </w:trPr>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Cs/>
                <w:sz w:val="20"/>
                <w:szCs w:val="20"/>
                <w:lang w:val="en-US" w:eastAsia="ru-RU"/>
              </w:rPr>
              <w:t>Final Grade of the Academic Discipline</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 xml:space="preserve">The sum of points for the </w:t>
            </w:r>
            <w:r>
              <w:rPr>
                <w:rFonts w:ascii="Times New Roman" w:eastAsia="Times New Roman" w:hAnsi="Times New Roman" w:cs="Times New Roman"/>
                <w:bCs/>
                <w:sz w:val="20"/>
                <w:szCs w:val="20"/>
                <w:lang w:val="en-US" w:eastAsia="ru-RU"/>
              </w:rPr>
              <w:t>examination test</w:t>
            </w:r>
            <w:r>
              <w:rPr>
                <w:rFonts w:ascii="Times New Roman" w:eastAsia="Times New Roman" w:hAnsi="Times New Roman" w:cs="Times New Roman"/>
                <w:sz w:val="20"/>
                <w:szCs w:val="20"/>
                <w:lang w:val="en-US" w:eastAsia="ru-RU"/>
              </w:rPr>
              <w:t xml:space="preserve"> (12–20 points) and </w:t>
            </w:r>
            <w:r>
              <w:rPr>
                <w:rFonts w:ascii="Times New Roman" w:eastAsia="Times New Roman" w:hAnsi="Times New Roman" w:cs="Times New Roman"/>
                <w:bCs/>
                <w:sz w:val="20"/>
                <w:szCs w:val="20"/>
                <w:lang w:val="en-US" w:eastAsia="ru-RU"/>
              </w:rPr>
              <w:t>oral assessment</w:t>
            </w:r>
            <w:r>
              <w:rPr>
                <w:rFonts w:ascii="Times New Roman" w:eastAsia="Times New Roman" w:hAnsi="Times New Roman" w:cs="Times New Roman"/>
                <w:sz w:val="20"/>
                <w:szCs w:val="20"/>
                <w:lang w:val="en-US" w:eastAsia="ru-RU"/>
              </w:rPr>
              <w:t xml:space="preserve"> (38–60 points). </w:t>
            </w:r>
            <w:r>
              <w:rPr>
                <w:rFonts w:ascii="Times New Roman" w:eastAsia="Times New Roman" w:hAnsi="Times New Roman" w:cs="Times New Roman"/>
                <w:bCs/>
                <w:sz w:val="20"/>
                <w:szCs w:val="20"/>
                <w:lang w:val="en-US" w:eastAsia="ru-RU"/>
              </w:rPr>
              <w:t>Examination grade:</w:t>
            </w:r>
            <w:r>
              <w:rPr>
                <w:rFonts w:ascii="Times New Roman" w:eastAsia="Times New Roman" w:hAnsi="Times New Roman" w:cs="Times New Roman"/>
                <w:sz w:val="20"/>
                <w:szCs w:val="20"/>
                <w:lang w:val="en-US" w:eastAsia="ru-RU"/>
              </w:rPr>
              <w:t xml:space="preserve"> </w:t>
            </w:r>
          </w:p>
          <w:p w:rsidR="0059160A" w:rsidRDefault="0087327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 xml:space="preserve">71–80 points – “Excellent”; </w:t>
            </w:r>
          </w:p>
          <w:p w:rsidR="0059160A" w:rsidRDefault="0087327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 xml:space="preserve">61–70 points – “Good”; </w:t>
            </w:r>
          </w:p>
          <w:p w:rsidR="0059160A" w:rsidRDefault="0087327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 xml:space="preserve">50–60 points – “Satisfactory”; </w:t>
            </w:r>
          </w:p>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fewer than 50 points – “Unsatisfactory” / Failed.</w:t>
            </w:r>
          </w:p>
        </w:tc>
      </w:tr>
      <w:tr w:rsidR="0059160A">
        <w:trPr>
          <w:tblCellSpacing w:w="15" w:type="dxa"/>
        </w:trPr>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Cs/>
                <w:sz w:val="20"/>
                <w:szCs w:val="20"/>
                <w:lang w:val="en-US" w:eastAsia="ru-RU"/>
              </w:rPr>
              <w:t>Overall Assessment for the Academic Discipline</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bCs/>
                <w:sz w:val="20"/>
                <w:szCs w:val="20"/>
                <w:lang w:val="en-US" w:eastAsia="ru-RU"/>
              </w:rPr>
              <w:t>Ongoing academic performance</w:t>
            </w:r>
            <w:r>
              <w:rPr>
                <w:rFonts w:ascii="Times New Roman" w:eastAsia="Times New Roman" w:hAnsi="Times New Roman" w:cs="Times New Roman"/>
                <w:sz w:val="20"/>
                <w:szCs w:val="20"/>
                <w:lang w:val="en-US" w:eastAsia="ru-RU"/>
              </w:rPr>
              <w:t xml:space="preserve"> – 72–120 points (conversion of the average traditional grade for practical classes to the 120-point scale): </w:t>
            </w:r>
            <w:r>
              <w:rPr>
                <w:rFonts w:ascii="Times New Roman" w:eastAsia="Times New Roman" w:hAnsi="Times New Roman" w:cs="Times New Roman"/>
                <w:bCs/>
                <w:sz w:val="20"/>
                <w:szCs w:val="20"/>
                <w:lang w:val="en-US" w:eastAsia="ru-RU"/>
              </w:rPr>
              <w:t>60% of the final grade for the academic discipline</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bCs/>
                <w:sz w:val="20"/>
                <w:szCs w:val="20"/>
                <w:lang w:val="en-US" w:eastAsia="ru-RU"/>
              </w:rPr>
              <w:t>Final Assessment</w:t>
            </w:r>
            <w:r>
              <w:rPr>
                <w:rFonts w:ascii="Times New Roman" w:eastAsia="Times New Roman" w:hAnsi="Times New Roman" w:cs="Times New Roman"/>
                <w:sz w:val="20"/>
                <w:szCs w:val="20"/>
                <w:lang w:val="en-US" w:eastAsia="ru-RU"/>
              </w:rPr>
              <w:t xml:space="preserve"> – 50–80 points: </w:t>
            </w:r>
            <w:r>
              <w:rPr>
                <w:rFonts w:ascii="Times New Roman" w:eastAsia="Times New Roman" w:hAnsi="Times New Roman" w:cs="Times New Roman"/>
                <w:bCs/>
                <w:sz w:val="20"/>
                <w:szCs w:val="20"/>
                <w:lang w:val="en-US" w:eastAsia="ru-RU"/>
              </w:rPr>
              <w:t>40% of the final grade for the academic discipline</w:t>
            </w:r>
            <w:r>
              <w:rPr>
                <w:rFonts w:ascii="Times New Roman" w:eastAsia="Times New Roman" w:hAnsi="Times New Roman" w:cs="Times New Roman"/>
                <w:sz w:val="20"/>
                <w:szCs w:val="20"/>
                <w:lang w:val="en-US" w:eastAsia="ru-RU"/>
              </w:rPr>
              <w:t xml:space="preserve">. </w:t>
            </w:r>
            <w:r>
              <w:rPr>
                <w:rFonts w:ascii="Times New Roman" w:eastAsia="Times New Roman" w:hAnsi="Times New Roman" w:cs="Times New Roman"/>
                <w:bCs/>
                <w:sz w:val="20"/>
                <w:szCs w:val="20"/>
                <w:lang w:val="ru-RU" w:eastAsia="ru-RU"/>
              </w:rPr>
              <w:t xml:space="preserve">Individual </w:t>
            </w:r>
            <w:r>
              <w:rPr>
                <w:rFonts w:ascii="Times New Roman" w:eastAsia="Times New Roman" w:hAnsi="Times New Roman" w:cs="Times New Roman"/>
                <w:bCs/>
                <w:sz w:val="20"/>
                <w:szCs w:val="20"/>
                <w:lang w:val="en-US" w:eastAsia="ru-RU"/>
              </w:rPr>
              <w:t>Assignments</w:t>
            </w:r>
            <w:r>
              <w:rPr>
                <w:rFonts w:ascii="Times New Roman" w:eastAsia="Times New Roman" w:hAnsi="Times New Roman" w:cs="Times New Roman"/>
                <w:sz w:val="20"/>
                <w:szCs w:val="20"/>
                <w:lang w:val="ru-RU" w:eastAsia="ru-RU"/>
              </w:rPr>
              <w:t xml:space="preserve">– 1–12 points. </w:t>
            </w:r>
            <w:r>
              <w:rPr>
                <w:rFonts w:ascii="Times New Roman" w:eastAsia="Times New Roman" w:hAnsi="Times New Roman" w:cs="Times New Roman"/>
                <w:bCs/>
                <w:sz w:val="20"/>
                <w:szCs w:val="20"/>
                <w:lang w:val="ru-RU" w:eastAsia="ru-RU"/>
              </w:rPr>
              <w:t>Total: 122–200 points.</w:t>
            </w:r>
          </w:p>
        </w:tc>
      </w:tr>
      <w:bookmarkEnd w:id="2"/>
    </w:tbl>
    <w:p w:rsidR="0059160A" w:rsidRDefault="0059160A">
      <w:pPr>
        <w:widowControl w:val="0"/>
        <w:tabs>
          <w:tab w:val="left" w:pos="288"/>
          <w:tab w:val="left" w:pos="432"/>
          <w:tab w:val="left" w:pos="576"/>
          <w:tab w:val="left" w:pos="1872"/>
          <w:tab w:val="left" w:pos="3312"/>
          <w:tab w:val="left" w:pos="4176"/>
        </w:tabs>
        <w:autoSpaceDE w:val="0"/>
        <w:autoSpaceDN w:val="0"/>
        <w:spacing w:after="0" w:line="240" w:lineRule="auto"/>
        <w:jc w:val="both"/>
        <w:rPr>
          <w:rFonts w:ascii="Times New Roman" w:eastAsia="Times New Roman" w:hAnsi="Times New Roman" w:cs="Times New Roman"/>
          <w:b/>
          <w:snapToGrid w:val="0"/>
          <w:color w:val="0000FF"/>
          <w:sz w:val="24"/>
          <w:szCs w:val="24"/>
        </w:rPr>
      </w:pPr>
    </w:p>
    <w:p w:rsidR="0059160A" w:rsidRDefault="0087327D">
      <w:pPr>
        <w:spacing w:after="0" w:line="240" w:lineRule="auto"/>
        <w:ind w:firstLineChars="100" w:firstLine="241"/>
        <w:jc w:val="center"/>
        <w:rPr>
          <w:rFonts w:ascii="Times New Roman" w:eastAsia="Times New Roman" w:hAnsi="Times New Roman" w:cs="Times New Roman"/>
          <w:b/>
          <w:bCs/>
          <w:color w:val="0000FF"/>
          <w:sz w:val="24"/>
          <w:szCs w:val="24"/>
          <w:lang w:eastAsia="ru-RU"/>
        </w:rPr>
      </w:pPr>
      <w:r>
        <w:rPr>
          <w:rFonts w:ascii="Times New Roman" w:eastAsia="Times New Roman" w:hAnsi="Times New Roman" w:cs="Times New Roman"/>
          <w:b/>
          <w:bCs/>
          <w:sz w:val="24"/>
          <w:szCs w:val="24"/>
          <w:lang w:val="ru-RU" w:eastAsia="ru-RU"/>
        </w:rPr>
        <w:t>GRADING SCALE: NATIONAL AND ECTS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3"/>
        <w:gridCol w:w="922"/>
        <w:gridCol w:w="3932"/>
        <w:gridCol w:w="2591"/>
      </w:tblGrid>
      <w:tr w:rsidR="0059160A">
        <w:trPr>
          <w:tblHeader/>
          <w:tblCellSpacing w:w="15" w:type="dxa"/>
        </w:trPr>
        <w:tc>
          <w:tcPr>
            <w:tcW w:w="0" w:type="auto"/>
            <w:vAlign w:val="center"/>
          </w:tcPr>
          <w:p w:rsidR="0059160A" w:rsidRDefault="0087327D">
            <w:pPr>
              <w:spacing w:after="0" w:line="240" w:lineRule="auto"/>
              <w:jc w:val="right"/>
              <w:rPr>
                <w:rFonts w:ascii="Times New Roman" w:eastAsia="Times New Roman" w:hAnsi="Times New Roman" w:cs="Times New Roman"/>
                <w:b/>
                <w:bCs/>
                <w:sz w:val="20"/>
                <w:szCs w:val="20"/>
                <w:lang w:val="en-US" w:eastAsia="ru-RU"/>
              </w:rPr>
            </w:pPr>
            <w:r>
              <w:rPr>
                <w:rFonts w:ascii="Times New Roman" w:eastAsia="Times New Roman" w:hAnsi="Times New Roman" w:cs="Times New Roman"/>
                <w:b/>
                <w:bCs/>
                <w:sz w:val="20"/>
                <w:szCs w:val="20"/>
                <w:lang w:val="en-US" w:eastAsia="ru-RU"/>
              </w:rPr>
              <w:t>Total Score for All Learning Activities</w:t>
            </w:r>
          </w:p>
        </w:tc>
        <w:tc>
          <w:tcPr>
            <w:tcW w:w="0" w:type="auto"/>
            <w:vAlign w:val="center"/>
          </w:tcPr>
          <w:p w:rsidR="0059160A" w:rsidRDefault="0087327D">
            <w:pPr>
              <w:spacing w:after="0" w:line="240" w:lineRule="auto"/>
              <w:jc w:val="center"/>
              <w:rPr>
                <w:rFonts w:ascii="Times New Roman" w:eastAsia="Times New Roman" w:hAnsi="Times New Roman" w:cs="Times New Roman"/>
                <w:b/>
                <w:bCs/>
                <w:sz w:val="20"/>
                <w:szCs w:val="20"/>
                <w:lang w:val="ru-RU" w:eastAsia="ru-RU"/>
              </w:rPr>
            </w:pPr>
            <w:r>
              <w:rPr>
                <w:rFonts w:ascii="Times New Roman" w:eastAsia="Times New Roman" w:hAnsi="Times New Roman" w:cs="Times New Roman"/>
                <w:b/>
                <w:bCs/>
                <w:sz w:val="20"/>
                <w:szCs w:val="20"/>
                <w:lang w:val="ru-RU" w:eastAsia="ru-RU"/>
              </w:rPr>
              <w:t>ECTS Grade</w:t>
            </w:r>
          </w:p>
        </w:tc>
        <w:tc>
          <w:tcPr>
            <w:tcW w:w="0" w:type="auto"/>
            <w:vAlign w:val="center"/>
          </w:tcPr>
          <w:p w:rsidR="0059160A" w:rsidRDefault="0087327D">
            <w:pPr>
              <w:spacing w:after="0" w:line="240" w:lineRule="auto"/>
              <w:jc w:val="center"/>
              <w:rPr>
                <w:rFonts w:ascii="Times New Roman" w:eastAsia="Times New Roman" w:hAnsi="Times New Roman" w:cs="Times New Roman"/>
                <w:b/>
                <w:bCs/>
                <w:sz w:val="20"/>
                <w:szCs w:val="20"/>
                <w:lang w:val="en-US" w:eastAsia="ru-RU"/>
              </w:rPr>
            </w:pPr>
            <w:r>
              <w:rPr>
                <w:rFonts w:ascii="Times New Roman" w:eastAsia="Times New Roman" w:hAnsi="Times New Roman" w:cs="Times New Roman"/>
                <w:b/>
                <w:bCs/>
                <w:sz w:val="20"/>
                <w:szCs w:val="20"/>
                <w:lang w:val="en-US" w:eastAsia="ru-RU"/>
              </w:rPr>
              <w:t>National Grade: Examination, Course Project (Paper), Practical Training</w:t>
            </w:r>
          </w:p>
        </w:tc>
        <w:tc>
          <w:tcPr>
            <w:tcW w:w="0" w:type="auto"/>
            <w:vAlign w:val="center"/>
          </w:tcPr>
          <w:p w:rsidR="0059160A" w:rsidRDefault="0087327D">
            <w:pPr>
              <w:spacing w:after="0" w:line="240" w:lineRule="auto"/>
              <w:jc w:val="center"/>
              <w:rPr>
                <w:rFonts w:ascii="Times New Roman" w:eastAsia="Times New Roman" w:hAnsi="Times New Roman" w:cs="Times New Roman"/>
                <w:b/>
                <w:bCs/>
                <w:sz w:val="20"/>
                <w:szCs w:val="20"/>
                <w:lang w:val="ru-RU" w:eastAsia="ru-RU"/>
              </w:rPr>
            </w:pPr>
            <w:r>
              <w:rPr>
                <w:rFonts w:ascii="Times New Roman" w:eastAsia="Times New Roman" w:hAnsi="Times New Roman" w:cs="Times New Roman"/>
                <w:b/>
                <w:bCs/>
                <w:sz w:val="20"/>
                <w:szCs w:val="20"/>
                <w:lang w:val="ru-RU" w:eastAsia="ru-RU"/>
              </w:rPr>
              <w:t>National Grade: Pass</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180–200</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A</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Excellent</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Passed</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170–179.99</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B</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Good</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Passed</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160–169.99</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C</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Good</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Passed</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141–159.99</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D</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Satisfactory</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Passed</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122–140.99</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E</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Satisfactory</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sz w:val="20"/>
                <w:szCs w:val="20"/>
                <w:lang w:val="ru-RU" w:eastAsia="ru-RU"/>
              </w:rPr>
              <w:t>Passed</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60–121.99</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FX</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Unsatisfactory, with the possibility of retaking</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Failed, with the possibility of retaking</w:t>
            </w:r>
          </w:p>
        </w:tc>
      </w:tr>
      <w:tr w:rsidR="0059160A">
        <w:trPr>
          <w:tblCellSpacing w:w="15" w:type="dxa"/>
        </w:trPr>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0–59.99</w:t>
            </w:r>
          </w:p>
        </w:tc>
        <w:tc>
          <w:tcPr>
            <w:tcW w:w="0" w:type="auto"/>
            <w:vAlign w:val="center"/>
          </w:tcPr>
          <w:p w:rsidR="0059160A" w:rsidRDefault="0087327D">
            <w:pPr>
              <w:spacing w:after="0" w:line="240" w:lineRule="auto"/>
              <w:jc w:val="center"/>
              <w:rPr>
                <w:rFonts w:ascii="Times New Roman" w:eastAsia="Times New Roman" w:hAnsi="Times New Roman" w:cs="Times New Roman"/>
                <w:sz w:val="20"/>
                <w:szCs w:val="20"/>
                <w:lang w:val="ru-RU" w:eastAsia="ru-RU"/>
              </w:rPr>
            </w:pPr>
            <w:r>
              <w:rPr>
                <w:rFonts w:ascii="Times New Roman" w:eastAsia="Times New Roman" w:hAnsi="Times New Roman" w:cs="Times New Roman"/>
                <w:b/>
                <w:bCs/>
                <w:sz w:val="20"/>
                <w:szCs w:val="20"/>
                <w:lang w:val="ru-RU" w:eastAsia="ru-RU"/>
              </w:rPr>
              <w:t>F</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Unsatisfactory, with mandatory repetition of the discipline</w:t>
            </w:r>
          </w:p>
        </w:tc>
        <w:tc>
          <w:tcPr>
            <w:tcW w:w="0" w:type="auto"/>
            <w:vAlign w:val="center"/>
          </w:tcPr>
          <w:p w:rsidR="0059160A" w:rsidRDefault="0087327D">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Failed, with mandatory repetition of the discipline</w:t>
            </w:r>
          </w:p>
        </w:tc>
      </w:tr>
    </w:tbl>
    <w:p w:rsidR="0059160A" w:rsidRDefault="0059160A">
      <w:pPr>
        <w:pStyle w:val="aa"/>
        <w:jc w:val="center"/>
        <w:rPr>
          <w:rStyle w:val="ab"/>
          <w:lang w:val="en-US"/>
        </w:rPr>
      </w:pPr>
    </w:p>
    <w:p w:rsidR="00BC2F9B" w:rsidRDefault="00BC2F9B">
      <w:pPr>
        <w:pStyle w:val="aa"/>
        <w:jc w:val="center"/>
        <w:rPr>
          <w:rStyle w:val="ab"/>
          <w:lang w:val="en-US"/>
        </w:rPr>
      </w:pPr>
    </w:p>
    <w:p w:rsidR="0059160A" w:rsidRDefault="0087327D">
      <w:pPr>
        <w:pStyle w:val="aa"/>
        <w:spacing w:before="0" w:beforeAutospacing="0" w:after="0" w:afterAutospacing="0"/>
        <w:ind w:firstLineChars="100" w:firstLine="241"/>
        <w:jc w:val="center"/>
        <w:rPr>
          <w:lang w:val="en-US"/>
        </w:rPr>
      </w:pPr>
      <w:r>
        <w:rPr>
          <w:rStyle w:val="ab"/>
          <w:lang w:val="en-US"/>
        </w:rPr>
        <w:lastRenderedPageBreak/>
        <w:t>Criteria for Assessing Students’ Knowledge</w:t>
      </w:r>
    </w:p>
    <w:p w:rsidR="0059160A" w:rsidRDefault="0087327D">
      <w:pPr>
        <w:pStyle w:val="aa"/>
        <w:spacing w:before="0" w:beforeAutospacing="0" w:after="0" w:afterAutospacing="0"/>
        <w:ind w:firstLineChars="100" w:firstLine="241"/>
        <w:jc w:val="center"/>
        <w:rPr>
          <w:lang w:val="en-US"/>
        </w:rPr>
      </w:pPr>
      <w:r>
        <w:rPr>
          <w:rStyle w:val="ab"/>
          <w:i/>
          <w:iCs/>
          <w:lang w:val="en-US"/>
        </w:rPr>
        <w:t>Assessment of Oral/Written Responses during Ongoing Assessment</w:t>
      </w:r>
    </w:p>
    <w:p w:rsidR="0059160A" w:rsidRDefault="0087327D">
      <w:pPr>
        <w:pStyle w:val="aa"/>
        <w:spacing w:before="0" w:beforeAutospacing="0" w:after="0" w:afterAutospacing="0"/>
        <w:ind w:firstLineChars="100" w:firstLine="241"/>
        <w:jc w:val="both"/>
        <w:rPr>
          <w:lang w:val="en-US"/>
        </w:rPr>
      </w:pPr>
      <w:r>
        <w:rPr>
          <w:rStyle w:val="ab"/>
          <w:lang w:val="en-US"/>
        </w:rPr>
        <w:t>The grade “Excellent”</w:t>
      </w:r>
      <w:r>
        <w:rPr>
          <w:lang w:val="en-US"/>
        </w:rPr>
        <w:t xml:space="preserve"> is awarded when a student demonstrates comprehensive knowledge of the topic, illustrating responses with a variety of relevant examples; provides complete, accurate, and clear answers without prompting or leading questions; presents the material without errors or inaccuracies; confidently solves problems and completes practical tasks of varying levels of complexity; and independently generates innovative ideas.</w:t>
      </w:r>
    </w:p>
    <w:p w:rsidR="0059160A" w:rsidRDefault="0087327D">
      <w:pPr>
        <w:spacing w:after="0" w:line="240" w:lineRule="auto"/>
        <w:ind w:firstLineChars="100" w:firstLine="241"/>
        <w:jc w:val="both"/>
        <w:rPr>
          <w:rFonts w:ascii="Times New Roman" w:hAnsi="Times New Roman" w:cs="Times New Roman"/>
          <w:sz w:val="24"/>
          <w:szCs w:val="24"/>
        </w:rPr>
      </w:pPr>
      <w:r>
        <w:rPr>
          <w:rStyle w:val="ab"/>
          <w:rFonts w:ascii="Times New Roman" w:hAnsi="Times New Roman" w:cs="Times New Roman"/>
          <w:sz w:val="24"/>
          <w:szCs w:val="24"/>
        </w:rPr>
        <w:t>The grade “Good”</w:t>
      </w:r>
      <w:r>
        <w:rPr>
          <w:rFonts w:ascii="Times New Roman" w:hAnsi="Times New Roman" w:cs="Times New Roman"/>
          <w:sz w:val="24"/>
          <w:szCs w:val="24"/>
        </w:rPr>
        <w:t xml:space="preserve"> is awarded when a student demonstrates good knowledge and understanding of the topic and provides correct, coherent, and well-structured answers, although they may not be fully comprehensive. The student answers additional questions correctly and without significant errors; successfully solves problems and completes practical tasks, experiencing difficulties only with the most complex assignments.</w:t>
      </w:r>
    </w:p>
    <w:p w:rsidR="0059160A" w:rsidRDefault="0087327D">
      <w:pPr>
        <w:pStyle w:val="aa"/>
        <w:spacing w:before="0" w:beforeAutospacing="0" w:after="0" w:afterAutospacing="0"/>
        <w:ind w:firstLineChars="100" w:firstLine="241"/>
        <w:jc w:val="both"/>
        <w:rPr>
          <w:lang w:val="en-US"/>
        </w:rPr>
      </w:pPr>
      <w:r>
        <w:rPr>
          <w:rStyle w:val="ab"/>
          <w:lang w:val="en-US"/>
        </w:rPr>
        <w:t>The grade “Satisfactory”</w:t>
      </w:r>
      <w:r>
        <w:rPr>
          <w:lang w:val="en-US"/>
        </w:rPr>
        <w:t xml:space="preserve"> is awarded when a student demonstrates knowledge of the overall content of the topic and a satisfactory level of understanding. With the help of guiding questions, the student is able to solve modified (simplified) problems; solves problems and completes practical tasks, although experiencing difficulties even with relatively simple assignments; is unable to formulate a coherent and systematic response independently but provides correct answers to direct questions.</w:t>
      </w:r>
    </w:p>
    <w:p w:rsidR="0059160A" w:rsidRDefault="0087327D">
      <w:pPr>
        <w:pStyle w:val="aa"/>
        <w:spacing w:before="0" w:beforeAutospacing="0" w:after="0" w:afterAutospacing="0"/>
        <w:ind w:firstLineChars="100" w:firstLine="241"/>
        <w:jc w:val="both"/>
        <w:rPr>
          <w:lang w:val="en-US"/>
        </w:rPr>
      </w:pPr>
      <w:r>
        <w:rPr>
          <w:rStyle w:val="ab"/>
          <w:lang w:val="en-US"/>
        </w:rPr>
        <w:t>The grade “Unsatisfactory”</w:t>
      </w:r>
      <w:r>
        <w:rPr>
          <w:lang w:val="en-US"/>
        </w:rPr>
        <w:t xml:space="preserve"> is awarded when a student’s knowledge and skills do not meet the requirements for the grade “Satisfactory”.</w:t>
      </w:r>
    </w:p>
    <w:p w:rsidR="0059160A" w:rsidRDefault="0087327D">
      <w:pPr>
        <w:spacing w:after="0" w:line="240" w:lineRule="auto"/>
        <w:ind w:firstLineChars="100" w:firstLine="240"/>
        <w:jc w:val="both"/>
        <w:rPr>
          <w:rFonts w:ascii="Times New Roman" w:hAnsi="Times New Roman" w:cs="Times New Roman"/>
          <w:sz w:val="24"/>
          <w:szCs w:val="24"/>
        </w:rPr>
      </w:pPr>
      <w:r>
        <w:rPr>
          <w:rFonts w:ascii="Times New Roman" w:hAnsi="Times New Roman" w:cs="Times New Roman"/>
          <w:sz w:val="24"/>
          <w:szCs w:val="24"/>
        </w:rPr>
        <w:t xml:space="preserve">The assessment criteria for all other types of students’ academic work are based on the requirements of the Regulations on the Organisation of the Educational Process at National Pirogov Memorial Medical University, Vinnytsya, </w:t>
      </w:r>
    </w:p>
    <w:p w:rsidR="0059160A" w:rsidRDefault="0087327D">
      <w:pPr>
        <w:spacing w:after="0" w:line="240" w:lineRule="auto"/>
        <w:ind w:firstLineChars="100" w:firstLine="240"/>
        <w:jc w:val="both"/>
        <w:rPr>
          <w:rFonts w:ascii="Times New Roman" w:hAnsi="Times New Roman" w:cs="Times New Roman"/>
          <w:sz w:val="24"/>
          <w:szCs w:val="24"/>
        </w:rPr>
      </w:pPr>
      <w:r>
        <w:rPr>
          <w:rFonts w:ascii="Times New Roman" w:eastAsia="Times New Roman" w:hAnsi="Times New Roman" w:cs="Times New Roman"/>
          <w:sz w:val="24"/>
          <w:szCs w:val="24"/>
        </w:rPr>
        <w:t>(</w:t>
      </w:r>
      <w:hyperlink r:id="rId15" w:history="1">
        <w:r>
          <w:rPr>
            <w:rFonts w:ascii="Times New Roman" w:eastAsia="Times New Roman" w:hAnsi="Times New Roman" w:cs="Times New Roman"/>
            <w:color w:val="0000FF"/>
            <w:sz w:val="24"/>
            <w:szCs w:val="24"/>
            <w:u w:val="single"/>
            <w:lang w:val="en-US"/>
          </w:rPr>
          <w:t>ht</w:t>
        </w:r>
        <w:r>
          <w:rPr>
            <w:rFonts w:ascii="Times New Roman" w:eastAsia="Times New Roman" w:hAnsi="Times New Roman" w:cs="Times New Roman"/>
            <w:color w:val="0000FF"/>
            <w:sz w:val="24"/>
            <w:szCs w:val="24"/>
            <w:u w:val="single"/>
          </w:rPr>
          <w:t>tps://www.vnmu.edu.ua/downloads/other/polog_organiz_ocv_proc(2026).pdf</w:t>
        </w:r>
      </w:hyperlink>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 and are specified in the programme of the academic discipline.</w:t>
      </w:r>
    </w:p>
    <w:p w:rsidR="0059160A" w:rsidRDefault="0087327D">
      <w:pPr>
        <w:pStyle w:val="aa"/>
        <w:spacing w:before="0" w:beforeAutospacing="0" w:after="0" w:afterAutospacing="0"/>
        <w:ind w:firstLineChars="100" w:firstLine="241"/>
        <w:jc w:val="both"/>
        <w:rPr>
          <w:lang w:val="en-US"/>
        </w:rPr>
      </w:pPr>
      <w:r>
        <w:rPr>
          <w:rStyle w:val="ab"/>
          <w:lang w:val="en-US"/>
        </w:rPr>
        <w:t>Assessment of Students’ Independent Study</w:t>
      </w:r>
    </w:p>
    <w:p w:rsidR="0059160A" w:rsidRDefault="0087327D">
      <w:pPr>
        <w:pStyle w:val="aa"/>
        <w:spacing w:before="0" w:beforeAutospacing="0" w:after="0" w:afterAutospacing="0"/>
        <w:ind w:firstLineChars="100" w:firstLine="240"/>
        <w:jc w:val="both"/>
        <w:rPr>
          <w:lang w:val="en-US"/>
        </w:rPr>
      </w:pPr>
      <w:r>
        <w:rPr>
          <w:lang w:val="en-US"/>
        </w:rPr>
        <w:t>Students’ independent study undertaken as part of a topic alongside contact hours is assessed as part of the ongoing assessment of that topic during the relevant practical class.</w:t>
      </w:r>
    </w:p>
    <w:p w:rsidR="0059160A" w:rsidRDefault="0087327D">
      <w:pPr>
        <w:pStyle w:val="aa"/>
        <w:spacing w:before="0" w:beforeAutospacing="0" w:after="0" w:afterAutospacing="0"/>
        <w:ind w:firstLineChars="100" w:firstLine="240"/>
        <w:jc w:val="both"/>
        <w:rPr>
          <w:rStyle w:val="ab"/>
          <w:color w:val="0000FF"/>
          <w:lang w:val="en-US"/>
        </w:rPr>
      </w:pPr>
      <w:r>
        <w:rPr>
          <w:rStyle w:val="ab"/>
          <w:b w:val="0"/>
          <w:lang w:val="en-US"/>
        </w:rPr>
        <w:t>The maximum number of points</w:t>
      </w:r>
      <w:r>
        <w:rPr>
          <w:lang w:val="en-US"/>
        </w:rPr>
        <w:t xml:space="preserve"> a student may receive upon completion of the discipline is </w:t>
      </w:r>
      <w:r>
        <w:rPr>
          <w:rStyle w:val="ab"/>
          <w:b w:val="0"/>
          <w:lang w:val="en-US"/>
        </w:rPr>
        <w:t>200 points</w:t>
      </w:r>
      <w:r>
        <w:rPr>
          <w:lang w:val="en-US"/>
        </w:rPr>
        <w:t xml:space="preserve">. The minimum passing score is </w:t>
      </w:r>
      <w:r>
        <w:rPr>
          <w:rStyle w:val="ab"/>
          <w:b w:val="0"/>
          <w:lang w:val="en-US"/>
        </w:rPr>
        <w:t>122 points</w:t>
      </w:r>
      <w:r>
        <w:rPr>
          <w:lang w:val="en-US"/>
        </w:rPr>
        <w:t>.</w:t>
      </w:r>
    </w:p>
    <w:p w:rsidR="0005494A" w:rsidRDefault="0005494A">
      <w:pPr>
        <w:pStyle w:val="aa"/>
        <w:spacing w:before="0" w:beforeAutospacing="0" w:after="0" w:afterAutospacing="0"/>
        <w:ind w:firstLine="567"/>
        <w:rPr>
          <w:b/>
          <w:lang w:val="uk-UA"/>
        </w:rPr>
      </w:pPr>
    </w:p>
    <w:p w:rsidR="0059160A" w:rsidRDefault="0087327D">
      <w:pPr>
        <w:pStyle w:val="aa"/>
        <w:spacing w:before="0" w:beforeAutospacing="0" w:after="0" w:afterAutospacing="0"/>
        <w:ind w:firstLine="567"/>
        <w:rPr>
          <w:b/>
          <w:lang w:val="en-US"/>
        </w:rPr>
      </w:pPr>
      <w:r>
        <w:rPr>
          <w:b/>
          <w:lang w:val="uk-UA"/>
        </w:rPr>
        <w:t xml:space="preserve">7. </w:t>
      </w:r>
      <w:r>
        <w:rPr>
          <w:b/>
          <w:lang w:val="en-US"/>
        </w:rPr>
        <w:t>METHODOLOGICAL SUPPORT</w:t>
      </w:r>
    </w:p>
    <w:p w:rsidR="0059160A" w:rsidRDefault="0087327D">
      <w:pPr>
        <w:pStyle w:val="aa"/>
        <w:spacing w:before="0" w:beforeAutospacing="0" w:after="0" w:afterAutospacing="0"/>
        <w:jc w:val="both"/>
      </w:pPr>
      <w:r>
        <w:rPr>
          <w:lang w:val="en-US"/>
        </w:rPr>
        <w:t>Teaching and learning materials (lecture notes or extended lecture outlines), thematic plans for lectures, practical classes and independent study, assignments for ongoing assessment, methodological guidelines, and teaching manuals.</w:t>
      </w:r>
    </w:p>
    <w:p w:rsidR="0005494A" w:rsidRDefault="0005494A">
      <w:pPr>
        <w:pStyle w:val="3"/>
        <w:tabs>
          <w:tab w:val="left" w:pos="1134"/>
          <w:tab w:val="left" w:pos="1276"/>
          <w:tab w:val="left" w:pos="1701"/>
        </w:tabs>
        <w:spacing w:before="0"/>
        <w:ind w:firstLine="567"/>
        <w:rPr>
          <w:rFonts w:ascii="Times New Roman" w:eastAsia="Times New Roman" w:hAnsi="Times New Roman" w:cs="Times New Roman"/>
          <w:bCs w:val="0"/>
          <w:color w:val="auto"/>
          <w:sz w:val="24"/>
          <w:szCs w:val="24"/>
          <w:lang w:eastAsia="ru-RU"/>
        </w:rPr>
      </w:pPr>
    </w:p>
    <w:p w:rsidR="0059160A" w:rsidRDefault="0087327D">
      <w:pPr>
        <w:pStyle w:val="3"/>
        <w:tabs>
          <w:tab w:val="left" w:pos="1134"/>
          <w:tab w:val="left" w:pos="1276"/>
          <w:tab w:val="left" w:pos="1701"/>
        </w:tabs>
        <w:spacing w:before="0"/>
        <w:ind w:firstLine="567"/>
        <w:rPr>
          <w:rFonts w:ascii="Times New Roman" w:eastAsia="Times New Roman" w:hAnsi="Times New Roman" w:cs="Times New Roman"/>
          <w:bCs w:val="0"/>
          <w:color w:val="auto"/>
          <w:sz w:val="24"/>
          <w:szCs w:val="24"/>
          <w:lang w:eastAsia="ru-RU"/>
        </w:rPr>
      </w:pPr>
      <w:r>
        <w:rPr>
          <w:rFonts w:ascii="Times New Roman" w:eastAsia="Times New Roman" w:hAnsi="Times New Roman" w:cs="Times New Roman"/>
          <w:bCs w:val="0"/>
          <w:color w:val="auto"/>
          <w:sz w:val="24"/>
          <w:szCs w:val="24"/>
          <w:lang w:eastAsia="ru-RU"/>
        </w:rPr>
        <w:t>8. ACADEMIC DISCIPLINE POLICIES</w:t>
      </w:r>
    </w:p>
    <w:p w:rsidR="0059160A" w:rsidRDefault="0087327D">
      <w:pPr>
        <w:pStyle w:val="aa"/>
        <w:spacing w:before="0" w:beforeAutospacing="0" w:after="0" w:afterAutospacing="0"/>
        <w:ind w:firstLine="567"/>
        <w:jc w:val="both"/>
        <w:rPr>
          <w:color w:val="000000"/>
          <w:lang w:val="en-US" w:eastAsia="uk-UA"/>
        </w:rPr>
      </w:pPr>
      <w:r>
        <w:rPr>
          <w:lang w:val="en-US"/>
        </w:rPr>
        <w:t xml:space="preserve">The completion of learning activities and all academic work within the discipline must comply with the requirements of the </w:t>
      </w:r>
      <w:r>
        <w:rPr>
          <w:rStyle w:val="ab"/>
          <w:b w:val="0"/>
          <w:lang w:val="en-US"/>
        </w:rPr>
        <w:t>Regulations on the Organisation of the Educational Process at National Pirogov Memorial Medical University, Vinnytsya</w:t>
      </w:r>
      <w:r>
        <w:rPr>
          <w:b/>
          <w:lang w:val="en-US"/>
        </w:rPr>
        <w:t>;</w:t>
      </w:r>
      <w:r>
        <w:rPr>
          <w:lang w:val="uk-UA"/>
        </w:rPr>
        <w:t xml:space="preserve"> </w:t>
      </w:r>
      <w:r>
        <w:rPr>
          <w:lang w:val="en-US"/>
        </w:rPr>
        <w:t>(</w:t>
      </w:r>
      <w:hyperlink r:id="rId16" w:history="1">
        <w:r>
          <w:rPr>
            <w:color w:val="0000FF"/>
            <w:u w:val="single"/>
            <w:lang w:val="en-US"/>
          </w:rPr>
          <w:t>https://www.vnmu.edu.ua/downloads/other/polog_organiz_ocv_proc(2026).pdf</w:t>
        </w:r>
      </w:hyperlink>
      <w:r>
        <w:rPr>
          <w:lang w:val="en-US"/>
        </w:rPr>
        <w:t>),  the</w:t>
      </w:r>
      <w:r>
        <w:rPr>
          <w:b/>
          <w:lang w:val="en-US"/>
        </w:rPr>
        <w:t xml:space="preserve"> </w:t>
      </w:r>
      <w:r>
        <w:rPr>
          <w:rStyle w:val="ab"/>
          <w:b w:val="0"/>
          <w:lang w:val="en-US"/>
        </w:rPr>
        <w:t>Regulations on the Organisation of the Educational Process for Higher Education Students Pursuing the Degree of Doctor of Philosophy at National Pirogov Memorial Medical University, Vinnytsya</w:t>
      </w:r>
      <w:r>
        <w:rPr>
          <w:lang w:val="en-US"/>
        </w:rPr>
        <w:t xml:space="preserve"> (</w:t>
      </w:r>
      <w:hyperlink r:id="rId17">
        <w:r>
          <w:rPr>
            <w:color w:val="0000FF"/>
            <w:u w:val="single" w:color="0000FF"/>
            <w:lang w:val="en-US"/>
          </w:rPr>
          <w:t>https://www.vnmu.edu.ua/downloads/other/pologPhD_org.pdf</w:t>
        </w:r>
      </w:hyperlink>
      <w:r>
        <w:rPr>
          <w:lang w:val="en-US"/>
        </w:rPr>
        <w:t xml:space="preserve">),; the </w:t>
      </w:r>
      <w:r>
        <w:rPr>
          <w:rStyle w:val="ab"/>
          <w:b w:val="0"/>
          <w:lang w:val="en-US"/>
        </w:rPr>
        <w:t>Law of Ukraine “On Education” (Article 42</w:t>
      </w:r>
      <w:r>
        <w:rPr>
          <w:rStyle w:val="ab"/>
          <w:lang w:val="en-US"/>
        </w:rPr>
        <w:t>)</w:t>
      </w:r>
      <w:r>
        <w:rPr>
          <w:lang w:val="en-US"/>
        </w:rPr>
        <w:t>; the</w:t>
      </w:r>
      <w:r>
        <w:rPr>
          <w:b/>
          <w:lang w:val="en-US"/>
        </w:rPr>
        <w:t xml:space="preserve"> </w:t>
      </w:r>
      <w:r>
        <w:rPr>
          <w:rStyle w:val="ab"/>
          <w:b w:val="0"/>
          <w:lang w:val="en-US"/>
        </w:rPr>
        <w:t>Law of Ukraine “On Academic Integrity</w:t>
      </w:r>
      <w:r>
        <w:rPr>
          <w:rStyle w:val="ab"/>
          <w:lang w:val="en-US"/>
        </w:rPr>
        <w:t>”</w:t>
      </w:r>
      <w:r>
        <w:rPr>
          <w:lang w:val="en-US"/>
        </w:rPr>
        <w:t xml:space="preserve">; and the </w:t>
      </w:r>
      <w:r>
        <w:rPr>
          <w:rStyle w:val="ab"/>
          <w:b w:val="0"/>
          <w:lang w:val="en-US"/>
        </w:rPr>
        <w:t>Code of Academic Integrity of National Pirogov Memorial Medical University, Vinnytsya</w:t>
      </w:r>
      <w:r>
        <w:rPr>
          <w:lang w:val="en-US"/>
        </w:rPr>
        <w:t xml:space="preserve"> (</w:t>
      </w:r>
      <w:hyperlink r:id="rId18" w:history="1">
        <w:r>
          <w:rPr>
            <w:color w:val="0000FF"/>
            <w:u w:val="single"/>
            <w:lang w:val="en-US" w:eastAsia="uk-UA"/>
          </w:rPr>
          <w:t>https://www.vnmu.edu.ua/downloads/other/kodex_akad_dobr_edit%202026.pdf</w:t>
        </w:r>
      </w:hyperlink>
      <w:r>
        <w:rPr>
          <w:color w:val="000000"/>
          <w:lang w:val="en-US" w:eastAsia="uk-UA"/>
        </w:rPr>
        <w:t>)</w:t>
      </w:r>
    </w:p>
    <w:p w:rsidR="0059160A" w:rsidRDefault="0087327D">
      <w:pPr>
        <w:pStyle w:val="aa"/>
        <w:spacing w:before="0" w:beforeAutospacing="0" w:after="0" w:afterAutospacing="0"/>
        <w:ind w:firstLine="567"/>
        <w:jc w:val="both"/>
        <w:rPr>
          <w:b/>
          <w:lang w:val="en-US"/>
        </w:rPr>
      </w:pPr>
      <w:r>
        <w:rPr>
          <w:rStyle w:val="ab"/>
          <w:b w:val="0"/>
          <w:lang w:val="en-US"/>
        </w:rPr>
        <w:t>Students are entitled to high-quality educational services and a safe learning environment under martial law, emergency situations and states of emergency; access to up-to-date scientific and educational information; and qualified academic guidance and support in studying the discipline and acquiring practical skills.</w:t>
      </w:r>
    </w:p>
    <w:p w:rsidR="0059160A" w:rsidRDefault="0087327D">
      <w:pPr>
        <w:pStyle w:val="aa"/>
        <w:spacing w:before="0" w:beforeAutospacing="0" w:after="0" w:afterAutospacing="0"/>
        <w:ind w:firstLine="567"/>
        <w:jc w:val="both"/>
        <w:rPr>
          <w:b/>
          <w:lang w:val="en-US"/>
        </w:rPr>
      </w:pPr>
      <w:r>
        <w:rPr>
          <w:rStyle w:val="ab"/>
          <w:b w:val="0"/>
          <w:lang w:val="en-US"/>
        </w:rPr>
        <w:lastRenderedPageBreak/>
        <w:t>The Department’s policy on the provision of educational services is student-centred and is based on the regulatory documents of the Ministry of Education and Science of Ukraine and the Ministry of Health of Ukraine, the University Statute, the procedures governing the provision of educational services, including in emergency situations, as stipulated by the principal regulations and administrative directives governing the organisation of the educational process at National Pirogov Memorial Medical University, Vinnytsya, as well as on the principles of academic integrity.</w:t>
      </w:r>
    </w:p>
    <w:p w:rsidR="0059160A" w:rsidRDefault="0087327D">
      <w:pPr>
        <w:widowControl w:val="0"/>
        <w:autoSpaceDE w:val="0"/>
        <w:autoSpaceDN w:val="0"/>
        <w:spacing w:after="0" w:line="240" w:lineRule="auto"/>
        <w:ind w:firstLine="567"/>
        <w:jc w:val="both"/>
        <w:rPr>
          <w:rFonts w:ascii="Times New Roman" w:hAnsi="Times New Roman" w:cs="Times New Roman"/>
          <w:sz w:val="24"/>
          <w:szCs w:val="24"/>
        </w:rPr>
      </w:pPr>
      <w:r>
        <w:rPr>
          <w:rStyle w:val="ab"/>
          <w:rFonts w:ascii="Times New Roman" w:hAnsi="Times New Roman" w:cs="Times New Roman"/>
          <w:sz w:val="24"/>
          <w:szCs w:val="24"/>
        </w:rPr>
        <w:t>Academic Integrity.</w:t>
      </w:r>
      <w:r>
        <w:rPr>
          <w:rFonts w:ascii="Times New Roman" w:hAnsi="Times New Roman" w:cs="Times New Roman"/>
          <w:sz w:val="24"/>
          <w:szCs w:val="24"/>
        </w:rPr>
        <w:t xml:space="preserve"> When studying the discipline and completing all types of learning assignments and/or research activities, students must comply with the </w:t>
      </w:r>
      <w:r>
        <w:rPr>
          <w:rStyle w:val="ab"/>
          <w:rFonts w:ascii="Times New Roman" w:hAnsi="Times New Roman" w:cs="Times New Roman"/>
          <w:b w:val="0"/>
          <w:sz w:val="24"/>
          <w:szCs w:val="24"/>
        </w:rPr>
        <w:t>Law of Ukraine “On Education” (Article 42)</w:t>
      </w:r>
      <w:r>
        <w:rPr>
          <w:rFonts w:ascii="Times New Roman" w:hAnsi="Times New Roman" w:cs="Times New Roman"/>
          <w:b/>
          <w:sz w:val="24"/>
          <w:szCs w:val="24"/>
        </w:rPr>
        <w:t xml:space="preserve">, </w:t>
      </w:r>
      <w:r>
        <w:rPr>
          <w:rFonts w:ascii="Times New Roman" w:hAnsi="Times New Roman" w:cs="Times New Roman"/>
          <w:sz w:val="24"/>
          <w:szCs w:val="24"/>
        </w:rPr>
        <w:t>th</w:t>
      </w:r>
      <w:r>
        <w:rPr>
          <w:rFonts w:ascii="Times New Roman" w:hAnsi="Times New Roman" w:cs="Times New Roman"/>
          <w:b/>
          <w:sz w:val="24"/>
          <w:szCs w:val="24"/>
        </w:rPr>
        <w:t xml:space="preserve">e </w:t>
      </w:r>
      <w:r>
        <w:rPr>
          <w:rStyle w:val="ab"/>
          <w:rFonts w:ascii="Times New Roman" w:hAnsi="Times New Roman" w:cs="Times New Roman"/>
          <w:b w:val="0"/>
          <w:sz w:val="24"/>
          <w:szCs w:val="24"/>
        </w:rPr>
        <w:t>Law of Ukraine “On Academic Integrity”</w:t>
      </w:r>
      <w:r>
        <w:rPr>
          <w:rFonts w:ascii="Times New Roman" w:hAnsi="Times New Roman" w:cs="Times New Roman"/>
          <w:b/>
          <w:sz w:val="24"/>
          <w:szCs w:val="24"/>
        </w:rPr>
        <w:t xml:space="preserve">, </w:t>
      </w:r>
      <w:r>
        <w:rPr>
          <w:rFonts w:ascii="Times New Roman" w:hAnsi="Times New Roman" w:cs="Times New Roman"/>
          <w:sz w:val="24"/>
          <w:szCs w:val="24"/>
        </w:rPr>
        <w:t>and the</w:t>
      </w:r>
      <w:r>
        <w:rPr>
          <w:rFonts w:ascii="Times New Roman" w:hAnsi="Times New Roman" w:cs="Times New Roman"/>
          <w:b/>
          <w:sz w:val="24"/>
          <w:szCs w:val="24"/>
        </w:rPr>
        <w:t xml:space="preserve"> </w:t>
      </w:r>
      <w:r>
        <w:rPr>
          <w:rStyle w:val="ab"/>
          <w:rFonts w:ascii="Times New Roman" w:hAnsi="Times New Roman" w:cs="Times New Roman"/>
          <w:b w:val="0"/>
          <w:sz w:val="24"/>
          <w:szCs w:val="24"/>
        </w:rPr>
        <w:t>Code of Academic Integrity of National Pirogov Memorial Medical University, Vinnytsya</w:t>
      </w:r>
      <w:r>
        <w:rPr>
          <w:rFonts w:ascii="Times New Roman" w:hAnsi="Times New Roman" w:cs="Times New Roman"/>
          <w:sz w:val="24"/>
          <w:szCs w:val="24"/>
        </w:rPr>
        <w:t xml:space="preserve"> (</w:t>
      </w:r>
      <w:hyperlink r:id="rId19" w:history="1">
        <w:r>
          <w:rPr>
            <w:rStyle w:val="a9"/>
            <w:rFonts w:ascii="Times New Roman" w:hAnsi="Times New Roman" w:cs="Times New Roman"/>
            <w:sz w:val="24"/>
            <w:szCs w:val="24"/>
          </w:rPr>
          <w:t>University website → General Information → Key Documents → Code of Academic Integrity</w:t>
        </w:r>
      </w:hyperlink>
      <w:r>
        <w:rPr>
          <w:rFonts w:ascii="Times New Roman" w:hAnsi="Times New Roman" w:cs="Times New Roman"/>
          <w:sz w:val="24"/>
          <w:szCs w:val="24"/>
        </w:rPr>
        <w:t>). In the event of a violation of academic integrity principles, appropriate measures shall be taken in accordance with the applicable regulatory documents.</w:t>
      </w:r>
    </w:p>
    <w:p w:rsidR="0059160A" w:rsidRDefault="0087327D">
      <w:pPr>
        <w:pStyle w:val="aa"/>
        <w:spacing w:before="0" w:beforeAutospacing="0" w:after="0" w:afterAutospacing="0"/>
        <w:jc w:val="both"/>
        <w:rPr>
          <w:lang w:val="en-US"/>
        </w:rPr>
      </w:pPr>
      <w:r>
        <w:rPr>
          <w:rStyle w:val="ab"/>
          <w:lang w:val="en-US"/>
        </w:rPr>
        <w:t>Compliance with VNMU Internal Regulations and Safety Requirements during Practical Classes.</w:t>
      </w:r>
      <w:r>
        <w:rPr>
          <w:lang w:val="en-US"/>
        </w:rPr>
        <w:t xml:space="preserve"> At the first practical class, the instructor provides a safety briefing on appropriate conduct on the Department premises, informs students of the location of the shelter and the evacuation route to the shelter in accordance with the approved evacuation plan, explains the rules of conduct while proceeding to and remaining in the shelter, and provides instructions on all actions stipulated by the Emergency Response Plan (pursuant to Order No. 505 dated 30 August 2023). In the event of an </w:t>
      </w:r>
      <w:r>
        <w:rPr>
          <w:rStyle w:val="ab"/>
          <w:b w:val="0"/>
          <w:lang w:val="en-US"/>
        </w:rPr>
        <w:t>air raid alert</w:t>
      </w:r>
      <w:r>
        <w:rPr>
          <w:lang w:val="en-US"/>
        </w:rPr>
        <w:t xml:space="preserve"> or any other emergency warning signal, the instructor suspends the class. The instructor and students proceed together to the shelter and remain there until the warning signal is cancelled. Once the alert has been lifted, the instructor and students either resume the class in the Department’s classrooms or students independently complete the remaining learning material, which is subsequently assessed at the next class.</w:t>
      </w:r>
    </w:p>
    <w:p w:rsidR="0059160A" w:rsidRDefault="0087327D">
      <w:pPr>
        <w:pStyle w:val="3"/>
        <w:spacing w:before="0" w:line="240" w:lineRule="auto"/>
        <w:ind w:firstLine="567"/>
        <w:jc w:val="both"/>
        <w:rPr>
          <w:rFonts w:ascii="Times New Roman" w:hAnsi="Times New Roman" w:cs="Times New Roman"/>
          <w:color w:val="000000" w:themeColor="text1"/>
          <w:sz w:val="24"/>
          <w:szCs w:val="24"/>
        </w:rPr>
      </w:pPr>
      <w:r>
        <w:rPr>
          <w:rStyle w:val="ab"/>
          <w:rFonts w:ascii="Times New Roman" w:hAnsi="Times New Roman" w:cs="Times New Roman"/>
          <w:b/>
          <w:bCs/>
          <w:color w:val="000000" w:themeColor="text1"/>
          <w:sz w:val="24"/>
          <w:szCs w:val="24"/>
        </w:rPr>
        <w:t>Requirements for Preparation for Practical Classes</w:t>
      </w:r>
    </w:p>
    <w:p w:rsidR="0059160A" w:rsidRDefault="0087327D">
      <w:pPr>
        <w:pStyle w:val="aa"/>
        <w:spacing w:before="0" w:beforeAutospacing="0" w:after="0" w:afterAutospacing="0"/>
        <w:ind w:firstLine="567"/>
        <w:jc w:val="both"/>
        <w:rPr>
          <w:color w:val="000000" w:themeColor="text1"/>
          <w:lang w:val="en-US"/>
        </w:rPr>
      </w:pPr>
      <w:r>
        <w:rPr>
          <w:color w:val="000000" w:themeColor="text1"/>
          <w:lang w:val="en-US"/>
        </w:rPr>
        <w:t>Students are required to participate actively in the educational process: attend classes and come adequately prepared; complete the test tasks related to the current topic in their workbooks and fill in the required diagrams and tables; actively participate in discussions of the class topic; complete all assignments specified in the programme; search for additional information relevant to the topic and present it to their peers.</w:t>
      </w:r>
    </w:p>
    <w:p w:rsidR="0059160A" w:rsidRDefault="0087327D">
      <w:pPr>
        <w:pStyle w:val="aa"/>
        <w:spacing w:before="0" w:beforeAutospacing="0" w:after="0" w:afterAutospacing="0"/>
        <w:ind w:firstLine="567"/>
        <w:jc w:val="both"/>
        <w:rPr>
          <w:color w:val="000000" w:themeColor="text1"/>
          <w:lang w:val="en-US"/>
        </w:rPr>
      </w:pPr>
      <w:r>
        <w:rPr>
          <w:color w:val="000000" w:themeColor="text1"/>
          <w:lang w:val="en-US"/>
        </w:rPr>
        <w:t xml:space="preserve">Students are expected to arrive at classes on time. Late arrival is not permitted in accordance with the </w:t>
      </w:r>
      <w:r>
        <w:rPr>
          <w:rStyle w:val="ab"/>
          <w:b w:val="0"/>
          <w:color w:val="000000" w:themeColor="text1"/>
          <w:lang w:val="en-US"/>
        </w:rPr>
        <w:t>Internal Regulations for Students of VNMU</w:t>
      </w:r>
      <w:r>
        <w:rPr>
          <w:b/>
          <w:color w:val="000000" w:themeColor="text1"/>
          <w:lang w:val="en-US"/>
        </w:rPr>
        <w:t>.</w:t>
      </w:r>
      <w:r>
        <w:rPr>
          <w:color w:val="000000" w:themeColor="text1"/>
          <w:lang w:val="en-US"/>
        </w:rPr>
        <w:t xml:space="preserve"> A student who arrives more than 10 minutes late is not admitted to the class and is required to make up the missed class in accordance with the established procedure.</w:t>
      </w:r>
    </w:p>
    <w:p w:rsidR="0059160A" w:rsidRDefault="0087327D">
      <w:pPr>
        <w:pStyle w:val="aa"/>
        <w:spacing w:before="0" w:beforeAutospacing="0" w:after="0" w:afterAutospacing="0"/>
        <w:ind w:firstLine="567"/>
        <w:jc w:val="both"/>
        <w:rPr>
          <w:lang w:val="en-US"/>
        </w:rPr>
      </w:pPr>
      <w:r>
        <w:rPr>
          <w:lang w:val="en-US"/>
        </w:rPr>
        <w:t>Students are expected to be polite, courteous, and respectful in their interactions with teaching staff, other University employees, fellow students, and other persons studying at VNMU. Students must maintain a quiet and orderly environment and demonstrate appropriate conduct on the Department premises.</w:t>
      </w:r>
    </w:p>
    <w:p w:rsidR="0059160A" w:rsidRDefault="0087327D">
      <w:pPr>
        <w:pStyle w:val="aa"/>
        <w:spacing w:before="0" w:beforeAutospacing="0" w:after="0" w:afterAutospacing="0"/>
        <w:ind w:firstLine="567"/>
        <w:jc w:val="both"/>
        <w:rPr>
          <w:lang w:val="en-US"/>
        </w:rPr>
      </w:pPr>
      <w:r>
        <w:rPr>
          <w:lang w:val="en-US"/>
        </w:rPr>
        <w:t>In its activities, the Department adheres to the principles of mutual respect and tolerance. Students are expected to uphold the same principles.</w:t>
      </w:r>
    </w:p>
    <w:p w:rsidR="0059160A" w:rsidRDefault="0087327D">
      <w:pPr>
        <w:pStyle w:val="aa"/>
        <w:spacing w:before="0" w:beforeAutospacing="0" w:after="0" w:afterAutospacing="0"/>
        <w:ind w:firstLine="567"/>
        <w:jc w:val="both"/>
        <w:rPr>
          <w:lang w:val="en-US"/>
        </w:rPr>
      </w:pPr>
      <w:r>
        <w:rPr>
          <w:lang w:val="en-US"/>
        </w:rPr>
        <w:t>Students must comply with safety regulations while on the Department premises.</w:t>
      </w:r>
    </w:p>
    <w:p w:rsidR="0059160A" w:rsidRDefault="0087327D">
      <w:pPr>
        <w:pStyle w:val="aa"/>
        <w:spacing w:before="0" w:beforeAutospacing="0" w:after="0" w:afterAutospacing="0"/>
        <w:ind w:firstLine="567"/>
        <w:jc w:val="both"/>
        <w:rPr>
          <w:lang w:val="en-US"/>
        </w:rPr>
      </w:pPr>
      <w:r>
        <w:rPr>
          <w:lang w:val="en-US"/>
        </w:rPr>
        <w:t>When working in teaching and research laboratories, students must comply with the applicable safety regulations (published on the website of the Pharmacy Department). When completing practical assignments, students must keep their workstations clean and orderly and leave them tidy upon completion of the practical work.</w:t>
      </w:r>
    </w:p>
    <w:p w:rsidR="0059160A" w:rsidRDefault="0087327D">
      <w:pPr>
        <w:pStyle w:val="aa"/>
        <w:spacing w:before="0" w:beforeAutospacing="0" w:after="0" w:afterAutospacing="0"/>
        <w:ind w:firstLine="567"/>
        <w:jc w:val="both"/>
        <w:rPr>
          <w:lang w:val="en-US"/>
        </w:rPr>
      </w:pPr>
      <w:r>
        <w:rPr>
          <w:rStyle w:val="ab"/>
          <w:lang w:val="en-US"/>
        </w:rPr>
        <w:t>Use of Mobile Phones and Other Electronic Devices.</w:t>
      </w:r>
      <w:r>
        <w:rPr>
          <w:lang w:val="en-US"/>
        </w:rPr>
        <w:t xml:space="preserve"> The use of mobile phones and other electronic devices during classes is not permitted, except for emergency calls or when such devices are used to present supplementary materials relevant to the topic of the class.</w:t>
      </w:r>
    </w:p>
    <w:p w:rsidR="0059160A" w:rsidRDefault="0087327D">
      <w:pPr>
        <w:pStyle w:val="aa"/>
        <w:spacing w:before="0" w:beforeAutospacing="0" w:after="0" w:afterAutospacing="0"/>
        <w:ind w:firstLine="567"/>
        <w:jc w:val="both"/>
        <w:rPr>
          <w:lang w:val="en-US"/>
        </w:rPr>
      </w:pPr>
      <w:r>
        <w:rPr>
          <w:rStyle w:val="ab"/>
          <w:lang w:val="en-US"/>
        </w:rPr>
        <w:t>Absence from Classes.</w:t>
      </w:r>
      <w:r>
        <w:rPr>
          <w:lang w:val="en-US"/>
        </w:rPr>
        <w:t xml:space="preserve"> Missed classes must be made up in accordance with the procedure established by the current </w:t>
      </w:r>
      <w:r>
        <w:rPr>
          <w:rStyle w:val="ab"/>
          <w:b w:val="0"/>
          <w:lang w:val="en-US"/>
        </w:rPr>
        <w:t>Regulations on the Organization of the Educational Process at National Pirogov Memorial Medical University, Vinnytsya</w:t>
      </w:r>
      <w:r>
        <w:rPr>
          <w:lang w:val="en-US"/>
        </w:rPr>
        <w:t xml:space="preserve"> </w:t>
      </w:r>
      <w:hyperlink r:id="rId20" w:history="1">
        <w:r>
          <w:rPr>
            <w:color w:val="0000FF"/>
            <w:u w:val="single"/>
            <w:lang w:val="en-US"/>
          </w:rPr>
          <w:t>https://www.vnmu.edu.ua/downloads/other/polog_organiz_ocv_proc(2026).pdf</w:t>
        </w:r>
      </w:hyperlink>
      <w:r>
        <w:rPr>
          <w:lang w:val="en-US"/>
        </w:rPr>
        <w:t xml:space="preserve">), at the times </w:t>
      </w:r>
      <w:r>
        <w:rPr>
          <w:lang w:val="en-US"/>
        </w:rPr>
        <w:lastRenderedPageBreak/>
        <w:t>specified in the make-up schedule published on the website of the Pharmacy Department (</w:t>
      </w:r>
      <w:hyperlink r:id="rId21" w:history="1">
        <w:r>
          <w:rPr>
            <w:rStyle w:val="a9"/>
            <w:lang w:val="en-US"/>
          </w:rPr>
          <w:t>VNMU website</w:t>
        </w:r>
      </w:hyperlink>
      <w:r>
        <w:rPr>
          <w:lang w:val="en-US"/>
        </w:rPr>
        <w:t>), either with the instructor on duty or with the student’s regular instructor. Making up a missed class involves completing the assignments related to the topic of the missed class in accordance with the specific requirements of the discipline.</w:t>
      </w:r>
    </w:p>
    <w:p w:rsidR="0059160A" w:rsidRDefault="0087327D">
      <w:pPr>
        <w:pStyle w:val="aa"/>
        <w:spacing w:before="0" w:beforeAutospacing="0" w:after="0" w:afterAutospacing="0"/>
        <w:ind w:firstLine="567"/>
        <w:jc w:val="both"/>
        <w:rPr>
          <w:lang w:val="en-US"/>
        </w:rPr>
      </w:pPr>
      <w:r>
        <w:rPr>
          <w:lang w:val="en-US"/>
        </w:rPr>
        <w:t xml:space="preserve">Mastery of lecture topics is assessed during practical classes, seminars (including the assessment of practical skills), and final assessment, in accordance with the </w:t>
      </w:r>
      <w:r>
        <w:rPr>
          <w:rStyle w:val="ab"/>
          <w:b w:val="0"/>
          <w:lang w:val="en-US"/>
        </w:rPr>
        <w:t>Regulations on the Organisation of the Educational Process at National Pirogov Memorial Medical University, Vinnytsya</w:t>
      </w:r>
      <w:r>
        <w:rPr>
          <w:lang w:val="en-US"/>
        </w:rPr>
        <w:t xml:space="preserve"> (</w:t>
      </w:r>
      <w:hyperlink r:id="rId22" w:history="1">
        <w:r>
          <w:rPr>
            <w:color w:val="0000FF"/>
            <w:u w:val="single"/>
            <w:lang w:val="en-US"/>
          </w:rPr>
          <w:t>https://www.vnmu.edu.ua/downloads/other/polog_organiz_ocv_proc(2026).pdf</w:t>
        </w:r>
      </w:hyperlink>
      <w:r>
        <w:rPr>
          <w:lang w:val="en-US"/>
        </w:rPr>
        <w:t>)</w:t>
      </w:r>
    </w:p>
    <w:p w:rsidR="0059160A" w:rsidRDefault="0087327D">
      <w:pPr>
        <w:pStyle w:val="aa"/>
        <w:spacing w:before="0" w:beforeAutospacing="0" w:after="0" w:afterAutospacing="0"/>
        <w:ind w:firstLine="567"/>
        <w:jc w:val="both"/>
        <w:rPr>
          <w:lang w:val="en-US"/>
        </w:rPr>
      </w:pPr>
      <w:r>
        <w:rPr>
          <w:rStyle w:val="ab"/>
          <w:lang w:val="en-US"/>
        </w:rPr>
        <w:t>Admission to Final Assessment.</w:t>
      </w:r>
      <w:r>
        <w:rPr>
          <w:lang w:val="en-US"/>
        </w:rPr>
        <w:t xml:space="preserve"> The procedure for admission to final assessment in the discipline is set out in the current </w:t>
      </w:r>
      <w:r>
        <w:rPr>
          <w:rStyle w:val="ab"/>
          <w:b w:val="0"/>
          <w:lang w:val="en-US"/>
        </w:rPr>
        <w:t>Regulations on the Organisation of the Educational Process at National Pirogov Memorial Medical University, Vinnytsya</w:t>
      </w:r>
      <w:r>
        <w:rPr>
          <w:lang w:val="en-US"/>
        </w:rPr>
        <w:t xml:space="preserve"> (</w:t>
      </w:r>
      <w:hyperlink r:id="rId23" w:history="1">
        <w:r>
          <w:rPr>
            <w:color w:val="0000FF"/>
            <w:u w:val="single"/>
            <w:lang w:val="en-US"/>
          </w:rPr>
          <w:t>https://www.vnmu.edu.ua/downloads/other/polog_organiz_ocv_proc(2026).pdf</w:t>
        </w:r>
      </w:hyperlink>
      <w:r>
        <w:rPr>
          <w:lang w:val="en-US"/>
        </w:rPr>
        <w:t>).</w:t>
      </w:r>
    </w:p>
    <w:p w:rsidR="0059160A" w:rsidRDefault="0087327D">
      <w:pPr>
        <w:pStyle w:val="aa"/>
        <w:spacing w:before="0" w:beforeAutospacing="0" w:after="0" w:afterAutospacing="0"/>
        <w:ind w:firstLine="567"/>
        <w:jc w:val="both"/>
        <w:rPr>
          <w:lang w:val="uk-UA"/>
        </w:rPr>
      </w:pPr>
      <w:r>
        <w:rPr>
          <w:lang w:val="en-US"/>
        </w:rPr>
        <w:t xml:space="preserve">Students are admitted to final assessment provided that they have </w:t>
      </w:r>
      <w:r>
        <w:rPr>
          <w:rStyle w:val="ab"/>
          <w:b w:val="0"/>
          <w:lang w:val="en-US"/>
        </w:rPr>
        <w:t>no outstanding academic requirements</w:t>
      </w:r>
      <w:r>
        <w:rPr>
          <w:b/>
          <w:lang w:val="en-US"/>
        </w:rPr>
        <w:t>:</w:t>
      </w:r>
      <w:r>
        <w:rPr>
          <w:lang w:val="en-US"/>
        </w:rPr>
        <w:t xml:space="preserve"> the average grade for ongoing assessment must be at least </w:t>
      </w:r>
      <w:r>
        <w:rPr>
          <w:rStyle w:val="ab"/>
          <w:b w:val="0"/>
          <w:lang w:val="en-US"/>
        </w:rPr>
        <w:t>3.0 (72 points on the 120-point scale)</w:t>
      </w:r>
      <w:r>
        <w:rPr>
          <w:lang w:val="en-US"/>
        </w:rPr>
        <w:t xml:space="preserve">; all final sessions for the content modules must have been completed with a passing grade </w:t>
      </w:r>
      <w:r>
        <w:rPr>
          <w:b/>
          <w:lang w:val="en-US"/>
        </w:rPr>
        <w:t>(</w:t>
      </w:r>
      <w:r>
        <w:rPr>
          <w:rStyle w:val="ab"/>
          <w:b w:val="0"/>
          <w:lang w:val="en-US"/>
        </w:rPr>
        <w:t>“3” or higher</w:t>
      </w:r>
      <w:r>
        <w:rPr>
          <w:lang w:val="en-US"/>
        </w:rPr>
        <w:t xml:space="preserve">); and all missed practical classes must have been made up with a passing grade </w:t>
      </w:r>
      <w:r>
        <w:rPr>
          <w:b/>
          <w:lang w:val="en-US"/>
        </w:rPr>
        <w:t>(</w:t>
      </w:r>
      <w:r>
        <w:rPr>
          <w:rStyle w:val="ab"/>
          <w:b w:val="0"/>
          <w:lang w:val="en-US"/>
        </w:rPr>
        <w:t>“3” or higher</w:t>
      </w:r>
      <w:r>
        <w:rPr>
          <w:b/>
          <w:lang w:val="en-US"/>
        </w:rPr>
        <w:t>).</w:t>
      </w:r>
      <w:r>
        <w:rPr>
          <w:lang w:val="en-US"/>
        </w:rPr>
        <w:t xml:space="preserve"> Otherwise, the student must improve their average grade by making up unsatisfactory grades and must make up all missed classes.</w:t>
      </w:r>
    </w:p>
    <w:p w:rsidR="0059160A" w:rsidRDefault="0087327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Style w:val="ab"/>
          <w:rFonts w:ascii="Times New Roman" w:hAnsi="Times New Roman" w:cs="Times New Roman"/>
          <w:sz w:val="24"/>
          <w:szCs w:val="24"/>
        </w:rPr>
        <w:t>Additional Points for Individual Assignments.</w:t>
      </w:r>
      <w:r>
        <w:rPr>
          <w:rFonts w:ascii="Times New Roman" w:hAnsi="Times New Roman" w:cs="Times New Roman"/>
          <w:sz w:val="24"/>
          <w:szCs w:val="24"/>
        </w:rPr>
        <w:t xml:space="preserve"> Students may receive additional points in the discipline for the successful completion of individual assignments, the content of which is published on the Department’s website as part of the teaching and learning materials for the discipline. The number of points awarded is determined based on the results of the individual assignment in accordance with the current </w:t>
      </w:r>
      <w:r>
        <w:rPr>
          <w:rStyle w:val="ab"/>
          <w:rFonts w:ascii="Times New Roman" w:hAnsi="Times New Roman" w:cs="Times New Roman"/>
          <w:b w:val="0"/>
          <w:sz w:val="24"/>
          <w:szCs w:val="24"/>
        </w:rPr>
        <w:t>Regulations on the Organisation of the Educational Process at National Pirogov Memorial Medical University, Vinnytsya</w:t>
      </w:r>
      <w:r>
        <w:rPr>
          <w:rFonts w:ascii="Times New Roman" w:hAnsi="Times New Roman" w:cs="Times New Roman"/>
          <w:b/>
          <w:sz w:val="24"/>
          <w:szCs w:val="24"/>
        </w:rPr>
        <w:t>.</w:t>
      </w:r>
      <w:r>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sz w:val="24"/>
          <w:szCs w:val="24"/>
          <w:lang w:val="en-US"/>
        </w:rPr>
        <w:t>(</w:t>
      </w:r>
      <w:hyperlink r:id="rId24" w:history="1">
        <w:r>
          <w:rPr>
            <w:rFonts w:ascii="Times New Roman" w:eastAsia="Times New Roman" w:hAnsi="Times New Roman" w:cs="Times New Roman"/>
            <w:color w:val="0000FF"/>
            <w:sz w:val="24"/>
            <w:szCs w:val="24"/>
            <w:u w:val="single"/>
            <w:lang w:val="en-US"/>
          </w:rPr>
          <w:t>ht</w:t>
        </w:r>
        <w:r>
          <w:rPr>
            <w:rFonts w:ascii="Times New Roman" w:eastAsia="Times New Roman" w:hAnsi="Times New Roman" w:cs="Times New Roman"/>
            <w:color w:val="0000FF"/>
            <w:sz w:val="24"/>
            <w:szCs w:val="24"/>
            <w:u w:val="single"/>
          </w:rPr>
          <w:t>tps://www.vnmu.edu.ua/downloads/other/polog_organiz_ocv_proc(2026).pdf</w:t>
        </w:r>
      </w:hyperlink>
      <w:r>
        <w:rPr>
          <w:rFonts w:ascii="Times New Roman" w:eastAsia="Times New Roman" w:hAnsi="Times New Roman" w:cs="Times New Roman"/>
          <w:sz w:val="24"/>
          <w:szCs w:val="24"/>
        </w:rPr>
        <w:t xml:space="preserve">). </w:t>
      </w:r>
    </w:p>
    <w:p w:rsidR="0059160A" w:rsidRDefault="0087327D">
      <w:pPr>
        <w:pStyle w:val="3"/>
        <w:spacing w:before="0"/>
        <w:ind w:firstLine="567"/>
        <w:rPr>
          <w:rFonts w:ascii="Times New Roman" w:hAnsi="Times New Roman" w:cs="Times New Roman"/>
          <w:color w:val="000000" w:themeColor="text1"/>
          <w:sz w:val="24"/>
          <w:szCs w:val="24"/>
        </w:rPr>
      </w:pPr>
      <w:r>
        <w:rPr>
          <w:rStyle w:val="ab"/>
          <w:rFonts w:ascii="Times New Roman" w:hAnsi="Times New Roman" w:cs="Times New Roman"/>
          <w:b/>
          <w:bCs/>
          <w:color w:val="000000" w:themeColor="text1"/>
          <w:sz w:val="24"/>
          <w:szCs w:val="24"/>
        </w:rPr>
        <w:t>Resolution of Conflict Situations</w:t>
      </w:r>
    </w:p>
    <w:p w:rsidR="0059160A" w:rsidRDefault="0087327D">
      <w:pPr>
        <w:pStyle w:val="aa"/>
        <w:spacing w:before="0" w:beforeAutospacing="0" w:after="0" w:afterAutospacing="0"/>
        <w:ind w:firstLine="567"/>
        <w:jc w:val="both"/>
        <w:rPr>
          <w:lang w:val="en-US"/>
        </w:rPr>
      </w:pPr>
      <w:r>
        <w:rPr>
          <w:lang w:val="en-US"/>
        </w:rPr>
        <w:t xml:space="preserve">In the event of misunderstandings or concerns regarding the quality of educational services, assessment of academic performance, or other conflict situations involving an instructor, students should first raise their concerns directly with the instructor. If the issue remains unresolved, the student has the right to submit an appeal to the Head of the Department in accordance with the </w:t>
      </w:r>
      <w:r>
        <w:rPr>
          <w:rStyle w:val="ab"/>
          <w:b w:val="0"/>
          <w:lang w:val="en-US"/>
        </w:rPr>
        <w:t>Regulations on the Consideration of Appeals from Higher Education Students at National Pirogov Memorial Medical University, Vinnytsya</w:t>
      </w:r>
      <w:r>
        <w:rPr>
          <w:lang w:val="en-US"/>
        </w:rPr>
        <w:t xml:space="preserve"> (</w:t>
      </w:r>
      <w:hyperlink r:id="rId25" w:history="1">
        <w:r>
          <w:rPr>
            <w:rStyle w:val="a9"/>
            <w:lang w:val="en-US"/>
          </w:rPr>
          <w:t>VNMU website → General Information → Key Documents</w:t>
        </w:r>
      </w:hyperlink>
      <w:r>
        <w:rPr>
          <w:lang w:val="en-US"/>
        </w:rPr>
        <w:t>).</w:t>
      </w:r>
    </w:p>
    <w:p w:rsidR="0059160A" w:rsidRDefault="0087327D">
      <w:pPr>
        <w:pStyle w:val="aa"/>
        <w:spacing w:before="0" w:beforeAutospacing="0" w:after="0" w:afterAutospacing="0"/>
        <w:ind w:firstLine="567"/>
        <w:jc w:val="both"/>
        <w:rPr>
          <w:lang w:val="en-US"/>
        </w:rPr>
      </w:pPr>
      <w:r>
        <w:rPr>
          <w:lang w:val="en-US"/>
        </w:rPr>
        <w:t>Students also have the right to contact the student self-government bodies, the administration of the Faculty (Institute), or the University administration, either directly or through the designated feedback channels (“trust boxes”), links and addresses for which are available on the official VNMU website.</w:t>
      </w:r>
    </w:p>
    <w:p w:rsidR="0059160A" w:rsidRDefault="0087327D">
      <w:pPr>
        <w:pStyle w:val="aa"/>
        <w:spacing w:before="0" w:beforeAutospacing="0" w:after="0" w:afterAutospacing="0"/>
        <w:ind w:firstLine="567"/>
        <w:jc w:val="both"/>
        <w:rPr>
          <w:lang w:val="en-US"/>
        </w:rPr>
      </w:pPr>
      <w:r>
        <w:rPr>
          <w:lang w:val="en-US"/>
        </w:rPr>
        <w:t xml:space="preserve">The Department recognises that a </w:t>
      </w:r>
      <w:r>
        <w:rPr>
          <w:rStyle w:val="ab"/>
          <w:b w:val="0"/>
          <w:lang w:val="en-US"/>
        </w:rPr>
        <w:t>student-centred approach</w:t>
      </w:r>
      <w:r>
        <w:rPr>
          <w:lang w:val="en-US"/>
        </w:rPr>
        <w:t xml:space="preserve"> entails students’ responsibility for the conscious and active acquisition of knowledge and for proper compliance with the rules and requirements established by applicable legislation and VNMU regulatory documents. The Department reserves the right to inform the relevant University bodies of any violations committed by students.</w:t>
      </w:r>
    </w:p>
    <w:p w:rsidR="0059160A" w:rsidRDefault="0087327D">
      <w:pPr>
        <w:pStyle w:val="3"/>
        <w:spacing w:before="0"/>
        <w:ind w:firstLine="567"/>
        <w:rPr>
          <w:rFonts w:ascii="Times New Roman" w:hAnsi="Times New Roman" w:cs="Times New Roman"/>
          <w:color w:val="000000" w:themeColor="text1"/>
          <w:sz w:val="24"/>
          <w:szCs w:val="24"/>
        </w:rPr>
      </w:pPr>
      <w:r>
        <w:rPr>
          <w:rStyle w:val="ab"/>
          <w:rFonts w:ascii="Times New Roman" w:hAnsi="Times New Roman" w:cs="Times New Roman"/>
          <w:b/>
          <w:bCs/>
          <w:color w:val="000000" w:themeColor="text1"/>
          <w:sz w:val="24"/>
          <w:szCs w:val="24"/>
        </w:rPr>
        <w:t>Policy on Blended Learning</w:t>
      </w:r>
    </w:p>
    <w:p w:rsidR="0059160A" w:rsidRDefault="0087327D">
      <w:pPr>
        <w:pStyle w:val="aa"/>
        <w:spacing w:before="0" w:beforeAutospacing="0" w:after="0" w:afterAutospacing="0"/>
        <w:ind w:firstLine="567"/>
        <w:jc w:val="both"/>
        <w:rPr>
          <w:lang w:val="en-US"/>
        </w:rPr>
      </w:pPr>
      <w:r>
        <w:rPr>
          <w:lang w:val="en-US"/>
        </w:rPr>
        <w:t xml:space="preserve">The organisation of blended learning is governed by the </w:t>
      </w:r>
      <w:r>
        <w:rPr>
          <w:rStyle w:val="ab"/>
          <w:b w:val="0"/>
          <w:lang w:val="en-US"/>
        </w:rPr>
        <w:t>Regulations on the Introduction of Elements of Distance Learning at National Pirogov Memorial Medical University, Vinnytsya</w:t>
      </w:r>
      <w:r>
        <w:rPr>
          <w:lang w:val="en-US"/>
        </w:rPr>
        <w:t xml:space="preserve"> (</w:t>
      </w:r>
      <w:hyperlink r:id="rId26" w:history="1">
        <w:r>
          <w:rPr>
            <w:rStyle w:val="a9"/>
            <w:lang w:val="en-US"/>
          </w:rPr>
          <w:t>VNMU website → General Information → Key Documents</w:t>
        </w:r>
      </w:hyperlink>
      <w:r>
        <w:rPr>
          <w:lang w:val="en-US"/>
        </w:rPr>
        <w:t xml:space="preserve">). The main online learning platforms used for classes are </w:t>
      </w:r>
      <w:r>
        <w:rPr>
          <w:rStyle w:val="ab"/>
          <w:b w:val="0"/>
          <w:lang w:val="en-US"/>
        </w:rPr>
        <w:t>Microsoft Teams</w:t>
      </w:r>
      <w:r>
        <w:rPr>
          <w:b/>
          <w:lang w:val="en-US"/>
        </w:rPr>
        <w:t xml:space="preserve"> </w:t>
      </w:r>
      <w:r>
        <w:rPr>
          <w:lang w:val="en-US"/>
        </w:rPr>
        <w:t xml:space="preserve">and </w:t>
      </w:r>
      <w:r>
        <w:rPr>
          <w:rStyle w:val="ab"/>
          <w:b w:val="0"/>
          <w:lang w:val="en-US"/>
        </w:rPr>
        <w:t>Google Meet</w:t>
      </w:r>
      <w:r>
        <w:rPr>
          <w:lang w:val="en-US"/>
        </w:rPr>
        <w:t>.</w:t>
      </w:r>
    </w:p>
    <w:p w:rsidR="0059160A" w:rsidRDefault="0087327D">
      <w:pPr>
        <w:pStyle w:val="aa"/>
        <w:spacing w:before="0" w:beforeAutospacing="0" w:after="0" w:afterAutospacing="0"/>
        <w:ind w:firstLine="567"/>
        <w:jc w:val="both"/>
        <w:rPr>
          <w:lang w:val="en-US"/>
        </w:rPr>
      </w:pPr>
      <w:r>
        <w:rPr>
          <w:lang w:val="en-US"/>
        </w:rPr>
        <w:t>The procedures for conducting practical classes, lectures, make-up classes, and consultations in the distance learning format are published on the Department’s webpage (</w:t>
      </w:r>
      <w:hyperlink r:id="rId27" w:history="1">
        <w:r>
          <w:rPr>
            <w:rStyle w:val="a9"/>
            <w:lang w:val="en-US"/>
          </w:rPr>
          <w:t>VNMU website</w:t>
        </w:r>
      </w:hyperlink>
      <w:r>
        <w:rPr>
          <w:lang w:val="en-US"/>
        </w:rPr>
        <w:t xml:space="preserve"> →</w:t>
      </w:r>
      <w:r>
        <w:rPr>
          <w:b/>
          <w:lang w:val="en-US"/>
        </w:rPr>
        <w:t xml:space="preserve"> </w:t>
      </w:r>
      <w:r>
        <w:rPr>
          <w:lang w:val="en-US"/>
        </w:rPr>
        <w:t>Pharmacy Department</w:t>
      </w:r>
      <w:r>
        <w:rPr>
          <w:rStyle w:val="ab"/>
          <w:b w:val="0"/>
          <w:lang w:val="en-US"/>
        </w:rPr>
        <w:t xml:space="preserve"> → For Students/Postgraduate Students → Mode of Study → Year of Study → Teaching and Learning Materials</w:t>
      </w:r>
      <w:r>
        <w:rPr>
          <w:b/>
          <w:lang w:val="en-US"/>
        </w:rPr>
        <w:t>).</w:t>
      </w:r>
    </w:p>
    <w:p w:rsidR="0059160A" w:rsidRDefault="0087327D">
      <w:pPr>
        <w:pStyle w:val="aa"/>
        <w:spacing w:before="0" w:beforeAutospacing="0" w:after="0" w:afterAutospacing="0"/>
        <w:ind w:firstLine="567"/>
        <w:jc w:val="both"/>
        <w:rPr>
          <w:lang w:val="en-US"/>
        </w:rPr>
      </w:pPr>
      <w:r>
        <w:rPr>
          <w:rStyle w:val="ab"/>
          <w:lang w:val="en-US"/>
        </w:rPr>
        <w:lastRenderedPageBreak/>
        <w:t>Communication with the Instructor.</w:t>
      </w:r>
      <w:r>
        <w:rPr>
          <w:lang w:val="en-US"/>
        </w:rPr>
        <w:t xml:space="preserve"> Students may contact the instructor via </w:t>
      </w:r>
      <w:r>
        <w:rPr>
          <w:rStyle w:val="ab"/>
          <w:b w:val="0"/>
          <w:lang w:val="en-US"/>
        </w:rPr>
        <w:t>Microsoft Teams chat, messaging applications (Viber, Telegram, WhatsApp), or email</w:t>
      </w:r>
      <w:r>
        <w:rPr>
          <w:b/>
          <w:lang w:val="en-US"/>
        </w:rPr>
        <w:t>,</w:t>
      </w:r>
      <w:r>
        <w:rPr>
          <w:lang w:val="en-US"/>
        </w:rPr>
        <w:t xml:space="preserve"> as determined by the instructor, during working hours.</w:t>
      </w:r>
    </w:p>
    <w:p w:rsidR="0059160A" w:rsidRDefault="0087327D">
      <w:pPr>
        <w:pStyle w:val="3"/>
        <w:spacing w:before="0"/>
        <w:ind w:firstLine="567"/>
        <w:rPr>
          <w:rFonts w:ascii="Times New Roman" w:eastAsia="Times New Roman" w:hAnsi="Times New Roman" w:cs="Times New Roman"/>
          <w:color w:val="auto"/>
          <w:sz w:val="24"/>
          <w:szCs w:val="24"/>
          <w:lang w:val="ru-RU" w:eastAsia="ru-RU"/>
        </w:rPr>
      </w:pPr>
      <w:r>
        <w:rPr>
          <w:rFonts w:ascii="Times New Roman" w:eastAsia="Times New Roman" w:hAnsi="Times New Roman" w:cs="Times New Roman"/>
          <w:color w:val="auto"/>
          <w:sz w:val="24"/>
          <w:szCs w:val="24"/>
          <w:lang w:val="ru-RU" w:eastAsia="ru-RU"/>
        </w:rPr>
        <w:t>9. LEARNING RESOURCES</w:t>
      </w:r>
    </w:p>
    <w:p w:rsidR="0059160A" w:rsidRDefault="0087327D">
      <w:pPr>
        <w:pStyle w:val="aa"/>
        <w:spacing w:before="0" w:beforeAutospacing="0" w:after="0" w:afterAutospacing="0"/>
        <w:rPr>
          <w:rStyle w:val="ab"/>
          <w:color w:val="0000FF"/>
        </w:rPr>
      </w:pPr>
      <w:r>
        <w:rPr>
          <w:lang w:val="en-US"/>
        </w:rPr>
        <w:t xml:space="preserve">Teaching and learning materials for the discipline are available on the Department’s website. The materials can be accessed via: </w:t>
      </w:r>
      <w:hyperlink r:id="rId28" w:history="1">
        <w:r>
          <w:rPr>
            <w:rStyle w:val="a9"/>
            <w:lang w:val="en-US"/>
          </w:rPr>
          <w:t>VNMU website →</w:t>
        </w:r>
        <w:r>
          <w:rPr>
            <w:rStyle w:val="a9"/>
            <w:rFonts w:eastAsia="SimSun"/>
            <w:lang w:val="en-US"/>
          </w:rPr>
          <w:t xml:space="preserve"> [Pharmacy Department] </w:t>
        </w:r>
        <w:r>
          <w:rPr>
            <w:rStyle w:val="a9"/>
            <w:lang w:val="en-US"/>
          </w:rPr>
          <w:t>→ For Students/Postgraduate Students</w:t>
        </w:r>
      </w:hyperlink>
      <w:r>
        <w:rPr>
          <w:lang w:val="en-US"/>
        </w:rPr>
        <w:t>.</w:t>
      </w:r>
    </w:p>
    <w:p w:rsidR="0005494A" w:rsidRDefault="0005494A">
      <w:pPr>
        <w:pStyle w:val="3"/>
        <w:spacing w:before="0"/>
        <w:ind w:firstLine="567"/>
        <w:rPr>
          <w:rStyle w:val="ab"/>
          <w:rFonts w:ascii="Times New Roman" w:hAnsi="Times New Roman" w:cs="Times New Roman"/>
          <w:b/>
          <w:bCs/>
          <w:color w:val="auto"/>
          <w:sz w:val="24"/>
          <w:szCs w:val="24"/>
        </w:rPr>
      </w:pPr>
    </w:p>
    <w:p w:rsidR="0059160A" w:rsidRDefault="0087327D">
      <w:pPr>
        <w:pStyle w:val="3"/>
        <w:spacing w:before="0"/>
        <w:ind w:firstLine="567"/>
        <w:rPr>
          <w:rFonts w:ascii="Times New Roman" w:hAnsi="Times New Roman" w:cs="Times New Roman"/>
          <w:color w:val="auto"/>
          <w:sz w:val="24"/>
          <w:szCs w:val="24"/>
        </w:rPr>
      </w:pPr>
      <w:r>
        <w:rPr>
          <w:rStyle w:val="ab"/>
          <w:rFonts w:ascii="Times New Roman" w:hAnsi="Times New Roman" w:cs="Times New Roman"/>
          <w:b/>
          <w:bCs/>
          <w:color w:val="auto"/>
          <w:sz w:val="24"/>
          <w:szCs w:val="24"/>
        </w:rPr>
        <w:t>LITERATURE</w:t>
      </w:r>
    </w:p>
    <w:p w:rsidR="0059160A" w:rsidRDefault="0087327D" w:rsidP="00DA4818">
      <w:pPr>
        <w:pStyle w:val="aa"/>
        <w:spacing w:before="0" w:beforeAutospacing="0" w:after="0" w:afterAutospacing="0"/>
        <w:jc w:val="both"/>
        <w:rPr>
          <w:rStyle w:val="ab"/>
          <w:lang w:val="en-US"/>
        </w:rPr>
      </w:pPr>
      <w:r>
        <w:rPr>
          <w:rStyle w:val="ab"/>
          <w:lang w:val="en-US"/>
        </w:rPr>
        <w:t>Core Literature for</w:t>
      </w:r>
      <w:r>
        <w:rPr>
          <w:rStyle w:val="ab"/>
          <w:rFonts w:eastAsia="SimSun"/>
          <w:lang w:val="en-US"/>
        </w:rPr>
        <w:t xml:space="preserve"> </w:t>
      </w:r>
      <w:bookmarkStart w:id="3" w:name="_Hlk243916345"/>
      <w:r w:rsidR="00DA4818">
        <w:rPr>
          <w:rStyle w:val="ab"/>
          <w:rFonts w:eastAsia="SimSun"/>
          <w:lang w:val="en-US"/>
        </w:rPr>
        <w:t>Practice on OEPh</w:t>
      </w:r>
      <w:bookmarkEnd w:id="3"/>
      <w:r>
        <w:rPr>
          <w:rStyle w:val="ab"/>
          <w:rFonts w:eastAsia="SimSun"/>
          <w:lang w:val="en-US"/>
        </w:rPr>
        <w:t>:</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1. Organization and Economics of Pharmacy. Part I. Organization of Pharmaceutical Provision for the Population: National Textbook for Students of Higher Educational Institutions / A.S. Nemchenko, V.M. Nazarkina, H.L. Panfilova, K.L. Kosiachenko, L.O. Hala. – Kharkiv: NUPh: Zoloti Storinky, 2015. – 360 p.</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2. Organization and Economics of Pharmacy [Text]: National Textbook for Higher Educational Institutions / National University of Pharmacy (NUPh); ed. by A.S. Nemchenko. – (National Textbook). Part 2: Accounting Systems in Pharmacy / A.S. Nemchenko [et al.], 2016. – 416 p.</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3. Organization and Economics of Pharmacy. Part III. Fundamentals of the Economics of Pharmacy: National Textbook for Students of Higher Educational Institutions / A.S. Nemchenko, H.L. Panfilova, V.M. Nazarkina, L.O. Hala. – Kharkiv: NUPh, 2017. – 272 p.</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4. Organization of Pharmaceutical Provision for the Population: Methodological Manual for Practical Classes in the Discipline "Organization and Economics of Pharmacy." Kyiv: Kyiv International University (KIU) / D.V. Semeniv (Professor, Doctor of Pharmaceutical Sciences, KIU), O.V. [Surname omitted in source] (Associate Professor, Candidate of Pharmaceutical Sciences, KIU). Hetalo (Associate Professor, Candidate of Pharmaceutical Sciences, IFNMU), O.S. Samborskyi (Candidate of Pharmaceutical Sciences, IFNMU), Yu.V. Baihush (Candidate of Pharmaceutical Sciences, Associate Professor, KyMU), L.H. Shostak (Candidate of Pedagogical Sciences, P.L. Shupyk NMAPO), N.A. Bilousova, 2021. 94 p.</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5. Law of Ukraine dated July 28, 2022, No. 2469-IX "On Medicinal Products." Version as of June 5, 2025; basis: 4454-IX. URL: https://zakon.rada.gov.ua/laws/show/2469-20#Text</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6. Law of Ukraine "On Remuneration of Labor," No. 2888-IX. Version as of April 1, 2023; basis: 2888-IX. URL: https://zakon.rada.gov.ua/laws/show/2888-20#n326</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6. Law of Ukraine dated July 16, 2025, No. 4536-IX "On Amendments to the Tax Code of Ukraine and Other Legislative Acts." URL: https://zakon.rada.gov.ua/laws/show/4536-20#Text</w:t>
      </w:r>
    </w:p>
    <w:p w:rsidR="00DA4818" w:rsidRPr="00DA4818" w:rsidRDefault="00DA4818" w:rsidP="00DA4818">
      <w:pPr>
        <w:pStyle w:val="aa"/>
        <w:spacing w:before="0" w:beforeAutospacing="0" w:after="0" w:afterAutospacing="0"/>
        <w:jc w:val="both"/>
        <w:rPr>
          <w:iCs/>
          <w:color w:val="000000"/>
          <w:lang w:val="uk-UA"/>
        </w:rPr>
      </w:pPr>
      <w:r w:rsidRPr="00DA4818">
        <w:rPr>
          <w:iCs/>
          <w:color w:val="000000"/>
          <w:lang w:val="uk-UA"/>
        </w:rPr>
        <w:t>7. Law of Ukraine No. 4791-IX dated February 24, 2026, "On Accounting and Financial Reporting in Ukraine." URL: https://zakon.rada.gov.ua/laws/show/3257-20#n62</w:t>
      </w:r>
    </w:p>
    <w:p w:rsidR="0059160A" w:rsidRDefault="00DA4818" w:rsidP="00DA4818">
      <w:pPr>
        <w:pStyle w:val="aa"/>
        <w:spacing w:before="0" w:beforeAutospacing="0" w:after="0" w:afterAutospacing="0"/>
        <w:jc w:val="both"/>
        <w:rPr>
          <w:iCs/>
          <w:color w:val="000000"/>
          <w:lang w:val="uk-UA"/>
        </w:rPr>
      </w:pPr>
      <w:r w:rsidRPr="00DA4818">
        <w:rPr>
          <w:iCs/>
          <w:color w:val="000000"/>
          <w:lang w:val="uk-UA"/>
        </w:rPr>
        <w:t xml:space="preserve">8. Law of Ukraine "On Electronic Documents and Electronic Document Circulation," No. 851-IV. Version as of 01.03.2026, basis – 1206-IX URL: </w:t>
      </w:r>
      <w:hyperlink r:id="rId29" w:anchor="Text" w:history="1">
        <w:r w:rsidRPr="00D72690">
          <w:rPr>
            <w:rStyle w:val="a9"/>
            <w:iCs/>
            <w:lang w:val="uk-UA"/>
          </w:rPr>
          <w:t>https://zakon.rada.gov.ua/laws/show/851-IV#Text</w:t>
        </w:r>
      </w:hyperlink>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9. Law of Ukraine dated December 3, 2025, No. 4695-IX "On the State Budget of Ukraine for 2026". URL: https://zakon.rada.gov.ua/laws/show/</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7. Law of Ukraine dated December 12, 2025, No. 4585-IX "On Specifics of Regulating the Activities of Legal Entities of Certain Organizational and Legal Forms During the Transition Period, and of Associations of Legal Entities". URL: https://zakon.rada.gov.ua/laws/show/4196-20#Text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10. Law of Ukraine dated June 30, 2021, No. 1591-IX "On Payment Services". URL: https://zakon.rada.gov.ua/laws/show/1591-20#Text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11. Law of Ukraine "On Emergency Medical Care". Version as of January 1, 2024; basis: 1909-IX. URL: https://zakon.rada.gov.ua/laws/show/5081-17#Text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12. Law of Ukraine "On Narcotic Drugs, Psychotropic Substances, and Precursors". Version as of March 31, 2023, No. 2849-IX. URL: https://zakon.rada.gov.ua/laws/show/60/95-%D0%B2%D1%80#Text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lastRenderedPageBreak/>
        <w:t>13. Law of Ukraine "On Measures to Counteract the Illicit Trafficking of Narcotic Drugs, Narcotic Substances, and Precursors, and Their Abuse". Version as of January 1, 2024, No. 1909-IX. URL: https://zakon.rada.gov.ua/laws/show/62/95-%D0%B2%D1%80#Text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14. Law of Ukraine No. 2806-IV "On the Permitting System in the Sphere of Economic Activity." Current version — version as of March 2, 2026; legal basis: 4718-IX. URL: https://zakon.rada.gov.ua/laws/show/2806-15#Text.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16. Law of Ukraine "On Ensuring the Functioning of the Ukrainian Language as the State Language." Version as of January 16, 2026; legal basis: 4502-IX. URL: https://zakon.rada.gov.ua/laws/show/2704-19#Text.</w:t>
      </w:r>
    </w:p>
    <w:p w:rsidR="00DA4818" w:rsidRDefault="00DA4818" w:rsidP="00DA4818">
      <w:pPr>
        <w:pStyle w:val="aa"/>
        <w:spacing w:before="0" w:beforeAutospacing="0" w:after="0" w:afterAutospacing="0"/>
        <w:jc w:val="both"/>
        <w:rPr>
          <w:rStyle w:val="ab"/>
          <w:b w:val="0"/>
          <w:lang w:val="en-US"/>
        </w:rPr>
      </w:pPr>
      <w:r w:rsidRPr="00DA4818">
        <w:rPr>
          <w:rStyle w:val="ab"/>
          <w:b w:val="0"/>
          <w:lang w:val="en-US"/>
        </w:rPr>
        <w:t xml:space="preserve">17. Decree of the President of Ukraine No. 712/2025 "On Additional Measures to Ensure the Accessibility of Medicinal Products for Ukrainians." URL: </w:t>
      </w:r>
      <w:hyperlink r:id="rId30" w:anchor="Text" w:history="1">
        <w:r w:rsidRPr="00D72690">
          <w:rPr>
            <w:rStyle w:val="a9"/>
            <w:lang w:val="en-US"/>
          </w:rPr>
          <w:t>https://zakon.rada.gov.ua/laws/show/n0006525-25#Text</w:t>
        </w:r>
      </w:hyperlink>
      <w:r w:rsidRPr="00DA4818">
        <w:rPr>
          <w:rStyle w:val="ab"/>
          <w:b w:val="0"/>
          <w:lang w:val="en-US"/>
        </w:rPr>
        <w: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18. Law of Ukraine dated February 12, 2025, No. 4239-IX "On Amendments to Certain Laws of Ukraine Regarding Specifics of State Registration of Medicinal Products That May Be Procured by an Entity Authorized to Conduct Procurement in the Healthcare Sector, and Regulation of Certain Issues Related to the Sale of Medicinal Products." URL: https://zakon.rada.gov.ua/laws/show/4239-20#Text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19. Resolution of the Cabinet of Ministers of Ukraine No. 929 "On Approval of Licensing Conditions for the Conduct of Business Activities Related to the Manufacturing of Medicinal Products, Wholesale and Retail Trade in Medicinal Products, and Importation of Medicinal Products." Version as of June 1, 2026; legal basis: 377-2026-p. URL: https://zakon.rada.gov.ua/laws/show/929-2016-%D0%BF)#Text</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20. Methodology for Pricing Medicinal Products in the Healthcare System [Text</w:t>
      </w:r>
      <w:proofErr w:type="gramStart"/>
      <w:r w:rsidRPr="00DA4818">
        <w:rPr>
          <w:rStyle w:val="ab"/>
          <w:b w:val="0"/>
          <w:lang w:val="en-US"/>
        </w:rPr>
        <w:t>] :</w:t>
      </w:r>
      <w:proofErr w:type="gramEnd"/>
      <w:r w:rsidRPr="00DA4818">
        <w:rPr>
          <w:rStyle w:val="ab"/>
          <w:b w:val="0"/>
          <w:lang w:val="en-US"/>
        </w:rPr>
        <w:t xml:space="preserve"> [monograph] / V. M. Nazarkina [et al.] ; ed. by A. S. Nemchenko, 2022. – 288 p.</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Harmonization of the Public Procurement System in Ukraine with EU Standards: A Practical Guide / A. S. Nemchenko, V. M. Nazarkina, I. A. Popova, M. M. Babenko, T. M. Koba. – Kharkiv: NUPh, 2023. – 90 p.</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21. State (Public) Administration in the Healthcare and Pharmacy System: Study Guide. – Kharkiv: NUPh, 2021. – 158 p.</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Kosiachenko N.M., Horkusha V.P., Kobryn V.V., Zavadska N.P. Organization and Economics of Pharmacy: A Study and Methodological Manual. Publisher: All-Ukrainian Specialized Publishing House "Medytsyna" [Medicine], 2021. 224 p.</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22. Datsko A., Datsko O. Theoretical and Methodological Foundations for Establishing Pharmaceutical Security in Ukraine. *Social Pharmacy in Ukraine: Status, Problems, and Prospects*: Proceedings of the All-Ukrainian Scientific-Practical Internet Conference with the participation of international experts (March 17–20, 2021); ed. by A.A. Kotvitska et al. Kharkiv: NUPh Publishing House. pp. 179–197.</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23. Datsko A.Y. Methodological Materials for the Training Course "Receipt and Quality Control of Medicines in a Pharmacy." Lviv: LFMKPO, 2021. 22 p.</w:t>
      </w:r>
    </w:p>
    <w:p w:rsidR="00DA4818" w:rsidRPr="00DA4818" w:rsidRDefault="00DA4818" w:rsidP="00DA4818">
      <w:pPr>
        <w:pStyle w:val="aa"/>
        <w:spacing w:before="0" w:beforeAutospacing="0" w:after="0" w:afterAutospacing="0"/>
        <w:jc w:val="both"/>
        <w:rPr>
          <w:rStyle w:val="ab"/>
          <w:b w:val="0"/>
          <w:lang w:val="en-US"/>
        </w:rPr>
      </w:pPr>
      <w:r w:rsidRPr="00DA4818">
        <w:rPr>
          <w:rStyle w:val="ab"/>
          <w:b w:val="0"/>
          <w:lang w:val="en-US"/>
        </w:rPr>
        <w:t>24. Organization and Economics of Pharmacy: Methodological Guidelines for Practical Classes for Higher Education Students Majoring in 226 "Pharmacy, Industrial Pharmacy" / O. Balitska, O. Blahun, M. Balynska, O. Haidai, V. Zlahoda. – Vinnytsia; approved by the Academic Council of the M.I. Pirogov Vinnytsia National Medical University (VNMU), Minutes No. 10 dated May 31, 2024. – 170 p.</w:t>
      </w:r>
    </w:p>
    <w:p w:rsidR="0005494A" w:rsidRDefault="0005494A" w:rsidP="00DA4818">
      <w:pPr>
        <w:pStyle w:val="aa"/>
        <w:spacing w:before="0" w:beforeAutospacing="0" w:after="0" w:afterAutospacing="0"/>
        <w:jc w:val="both"/>
        <w:rPr>
          <w:rStyle w:val="ab"/>
          <w:lang w:val="en-US"/>
        </w:rPr>
      </w:pPr>
    </w:p>
    <w:p w:rsidR="00DA4818" w:rsidRDefault="0087327D" w:rsidP="00DA4818">
      <w:pPr>
        <w:pStyle w:val="aa"/>
        <w:spacing w:before="0" w:beforeAutospacing="0" w:after="0" w:afterAutospacing="0"/>
        <w:jc w:val="both"/>
        <w:rPr>
          <w:rStyle w:val="ab"/>
          <w:lang w:val="en-US"/>
        </w:rPr>
      </w:pPr>
      <w:r>
        <w:rPr>
          <w:rStyle w:val="ab"/>
          <w:lang w:val="en-US"/>
        </w:rPr>
        <w:t xml:space="preserve">Supplementary Literature for </w:t>
      </w:r>
      <w:r w:rsidR="00DA4818" w:rsidRPr="00DA4818">
        <w:rPr>
          <w:rStyle w:val="ab"/>
          <w:rFonts w:eastAsia="SimSun"/>
          <w:lang w:val="en-US"/>
        </w:rPr>
        <w:t>Practice on OEPh</w:t>
      </w:r>
      <w:r>
        <w:rPr>
          <w:rStyle w:val="ab"/>
          <w:lang w:val="en-US"/>
        </w:rPr>
        <w:t>:</w:t>
      </w:r>
    </w:p>
    <w:p w:rsidR="00DA4818" w:rsidRDefault="00DA4818" w:rsidP="00DA4818">
      <w:pPr>
        <w:pStyle w:val="aa"/>
        <w:spacing w:before="0" w:beforeAutospacing="0" w:after="0" w:afterAutospacing="0"/>
        <w:jc w:val="both"/>
        <w:rPr>
          <w:iCs/>
          <w:color w:val="000000"/>
        </w:rPr>
      </w:pPr>
      <w:r w:rsidRPr="00DA4818">
        <w:rPr>
          <w:iCs/>
          <w:color w:val="000000"/>
        </w:rPr>
        <w:t xml:space="preserve">1. Resolution of the Cabinet of Ministers of Ukraine dated May 27, 2026, No. 687 "On Certain Issues Regarding the National List of Essential Medicines." URL: </w:t>
      </w:r>
      <w:hyperlink r:id="rId31" w:anchor="Text" w:history="1">
        <w:r w:rsidRPr="00D72690">
          <w:rPr>
            <w:rStyle w:val="a9"/>
            <w:iCs/>
          </w:rPr>
          <w:t>https://zakon.rada.gov.ua/laws/show/687-2026-%D0%BF#Text</w:t>
        </w:r>
      </w:hyperlink>
    </w:p>
    <w:p w:rsidR="00DA4818" w:rsidRDefault="00DA4818" w:rsidP="00DA4818">
      <w:pPr>
        <w:pStyle w:val="aa"/>
        <w:spacing w:before="0" w:beforeAutospacing="0" w:after="0" w:afterAutospacing="0"/>
        <w:jc w:val="both"/>
        <w:rPr>
          <w:iCs/>
          <w:color w:val="000000"/>
        </w:rPr>
      </w:pPr>
      <w:r w:rsidRPr="00DA4818">
        <w:rPr>
          <w:iCs/>
          <w:color w:val="000000"/>
        </w:rPr>
        <w:t xml:space="preserve">2. Resolution of the Cabinet of Ministers of Ukraine No. 955 "On Measures to Stabilize Prices for Medicinal Products"; current version — version as of March 1, 2025 (based on Resolution No. 168-2025-p). URL: </w:t>
      </w:r>
      <w:hyperlink r:id="rId32" w:anchor="Text" w:history="1">
        <w:r w:rsidRPr="00D72690">
          <w:rPr>
            <w:rStyle w:val="a9"/>
            <w:iCs/>
          </w:rPr>
          <w:t>https://zakon.rada.gov.ua/laws/show/955-2008-%D0%BF#Text</w:t>
        </w:r>
      </w:hyperlink>
    </w:p>
    <w:p w:rsidR="00DA4818" w:rsidRDefault="00DA4818" w:rsidP="00DA4818">
      <w:pPr>
        <w:pStyle w:val="aa"/>
        <w:spacing w:before="0" w:beforeAutospacing="0" w:after="0" w:afterAutospacing="0"/>
        <w:jc w:val="both"/>
        <w:rPr>
          <w:iCs/>
          <w:color w:val="000000"/>
        </w:rPr>
      </w:pPr>
      <w:r w:rsidRPr="00DA4818">
        <w:rPr>
          <w:iCs/>
          <w:color w:val="000000"/>
        </w:rPr>
        <w:lastRenderedPageBreak/>
        <w:t xml:space="preserve">3. Resolution of the Cabinet of Ministers of Ukraine No. 333 "On Certain Issues Regarding State Regulation of Prices for Medicinal Products and Medical Devices"; current version — version as of October 10, 2025 (based on Resolution No. 1268-2025-p). URL: </w:t>
      </w:r>
      <w:hyperlink r:id="rId33" w:anchor="Text" w:history="1">
        <w:r w:rsidRPr="00D72690">
          <w:rPr>
            <w:rStyle w:val="a9"/>
            <w:iCs/>
          </w:rPr>
          <w:t>https://zakon.rada.gov.ua/laws/show/333-2009-%D0%BF#Text</w:t>
        </w:r>
      </w:hyperlink>
    </w:p>
    <w:p w:rsidR="00DA4818" w:rsidRPr="00DA4818" w:rsidRDefault="00DA4818" w:rsidP="00DA4818">
      <w:pPr>
        <w:pStyle w:val="aa"/>
        <w:spacing w:before="0" w:beforeAutospacing="0" w:after="0" w:afterAutospacing="0"/>
        <w:jc w:val="both"/>
        <w:rPr>
          <w:iCs/>
          <w:color w:val="000000"/>
        </w:rPr>
      </w:pPr>
      <w:r w:rsidRPr="00DA4818">
        <w:rPr>
          <w:iCs/>
          <w:color w:val="000000"/>
        </w:rPr>
        <w:t>4. Resolution of the Cabinet of Ministers of Ukraine dated April 4, 2025, No. 439 "On Certain Issues Regarding State Regulation of Prices for Medicinal Products." URL: https://zakon.rada.gov.ua/laws/show/439-2025-%D0%BF#Text</w:t>
      </w:r>
    </w:p>
    <w:p w:rsidR="00DA4818" w:rsidRPr="00DA4818" w:rsidRDefault="00DA4818" w:rsidP="00DA4818">
      <w:pPr>
        <w:pStyle w:val="3"/>
        <w:spacing w:before="0" w:line="240" w:lineRule="auto"/>
        <w:jc w:val="both"/>
        <w:rPr>
          <w:rFonts w:ascii="Times New Roman" w:eastAsia="Times New Roman" w:hAnsi="Times New Roman" w:cs="Times New Roman"/>
          <w:b w:val="0"/>
          <w:bCs w:val="0"/>
          <w:iCs/>
          <w:color w:val="000000"/>
          <w:sz w:val="24"/>
          <w:szCs w:val="24"/>
          <w:lang w:eastAsia="ru-RU"/>
        </w:rPr>
      </w:pPr>
      <w:r w:rsidRPr="00DA4818">
        <w:rPr>
          <w:rFonts w:ascii="Times New Roman" w:eastAsia="Times New Roman" w:hAnsi="Times New Roman" w:cs="Times New Roman"/>
          <w:b w:val="0"/>
          <w:bCs w:val="0"/>
          <w:iCs/>
          <w:color w:val="000000"/>
          <w:sz w:val="24"/>
          <w:szCs w:val="24"/>
          <w:lang w:eastAsia="ru-RU"/>
        </w:rPr>
        <w:t>5. Resolution of the Cabinet of Ministers of Ukraine dated January 19, 2024, No. 64 "On Amendments to the Procedure for the Acquisition, Transportation, Storage, Dispensing, Use, and Destruction of Narcotic Drugs, Psychotropic Substances, and Precursors in Healthcare Facilities." URL: https://zakon.rada.gov.ua/laws/show/64-2024-%D0%BF#Text</w:t>
      </w:r>
    </w:p>
    <w:p w:rsidR="00DA4818" w:rsidRPr="00DA4818" w:rsidRDefault="00DA4818" w:rsidP="00DA4818">
      <w:pPr>
        <w:pStyle w:val="3"/>
        <w:spacing w:before="0" w:line="240" w:lineRule="auto"/>
        <w:jc w:val="both"/>
        <w:rPr>
          <w:rFonts w:ascii="Times New Roman" w:eastAsia="Times New Roman" w:hAnsi="Times New Roman" w:cs="Times New Roman"/>
          <w:b w:val="0"/>
          <w:bCs w:val="0"/>
          <w:iCs/>
          <w:color w:val="000000"/>
          <w:sz w:val="24"/>
          <w:szCs w:val="24"/>
          <w:lang w:eastAsia="ru-RU"/>
        </w:rPr>
      </w:pPr>
      <w:r w:rsidRPr="00DA4818">
        <w:rPr>
          <w:rFonts w:ascii="Times New Roman" w:eastAsia="Times New Roman" w:hAnsi="Times New Roman" w:cs="Times New Roman"/>
          <w:b w:val="0"/>
          <w:bCs w:val="0"/>
          <w:iCs/>
          <w:color w:val="000000"/>
          <w:sz w:val="24"/>
          <w:szCs w:val="24"/>
          <w:lang w:eastAsia="ru-RU"/>
        </w:rPr>
        <w:t>6. Resolution of the Cabinet of Ministers of Ukraine dated December 26, 2025, No. 976 “On Amendments to the Licensing Conditions for Conducting Business Activities Related to the Manufacturing of Medicinal Products, Wholesale and Retail Trade in Medicinal Products, and the Importation of Medicinal Products (Excluding Active Pharmaceutical Ingredients).” URL: https://zakon.rada.gov.ua/laws/show/1802-2025-%D0%BF#Text</w:t>
      </w:r>
    </w:p>
    <w:p w:rsidR="00DA4818" w:rsidRPr="00DA4818" w:rsidRDefault="00DA4818" w:rsidP="00DA4818">
      <w:pPr>
        <w:pStyle w:val="3"/>
        <w:spacing w:before="0" w:line="240" w:lineRule="auto"/>
        <w:jc w:val="both"/>
        <w:rPr>
          <w:rFonts w:ascii="Times New Roman" w:eastAsia="Times New Roman" w:hAnsi="Times New Roman" w:cs="Times New Roman"/>
          <w:b w:val="0"/>
          <w:bCs w:val="0"/>
          <w:iCs/>
          <w:color w:val="000000"/>
          <w:sz w:val="24"/>
          <w:szCs w:val="24"/>
          <w:lang w:eastAsia="ru-RU"/>
        </w:rPr>
      </w:pPr>
      <w:r w:rsidRPr="00DA4818">
        <w:rPr>
          <w:rFonts w:ascii="Times New Roman" w:eastAsia="Times New Roman" w:hAnsi="Times New Roman" w:cs="Times New Roman"/>
          <w:b w:val="0"/>
          <w:bCs w:val="0"/>
          <w:iCs/>
          <w:color w:val="000000"/>
          <w:sz w:val="24"/>
          <w:szCs w:val="24"/>
          <w:lang w:eastAsia="ru-RU"/>
        </w:rPr>
        <w:t>7. Resolution of the Cabinet of Ministers of Ukraine dated June 4, 2026, No. 739 “Certain Issues Regarding the Establishment of the Ukrainian Pharmaceutical Agency.” URL: https://ips.ligazakon.net/document/view/KP260739?ed=2026_06_04</w:t>
      </w:r>
    </w:p>
    <w:p w:rsidR="0059160A" w:rsidRDefault="00DA4818" w:rsidP="00DA4818">
      <w:pPr>
        <w:pStyle w:val="3"/>
        <w:spacing w:before="0" w:line="240" w:lineRule="auto"/>
        <w:jc w:val="both"/>
        <w:rPr>
          <w:rFonts w:ascii="Times New Roman" w:eastAsia="Times New Roman" w:hAnsi="Times New Roman" w:cs="Times New Roman"/>
          <w:b w:val="0"/>
          <w:bCs w:val="0"/>
          <w:iCs/>
          <w:color w:val="000000"/>
          <w:sz w:val="24"/>
          <w:szCs w:val="24"/>
          <w:lang w:eastAsia="ru-RU"/>
        </w:rPr>
      </w:pPr>
      <w:r w:rsidRPr="00DA4818">
        <w:rPr>
          <w:rFonts w:ascii="Times New Roman" w:eastAsia="Times New Roman" w:hAnsi="Times New Roman" w:cs="Times New Roman"/>
          <w:b w:val="0"/>
          <w:bCs w:val="0"/>
          <w:iCs/>
          <w:color w:val="000000"/>
          <w:sz w:val="24"/>
          <w:szCs w:val="24"/>
          <w:lang w:eastAsia="ru-RU"/>
        </w:rPr>
        <w:t xml:space="preserve">8. Resolution of the Cabinet of Ministers of Ukraine dated April 19, 2020, No. 426 “On Reference Pricing for Certain Medicinal Products Procured Using Budget Funds.” URL: </w:t>
      </w:r>
      <w:hyperlink r:id="rId34" w:anchor="Text" w:history="1">
        <w:r w:rsidRPr="00D72690">
          <w:rPr>
            <w:rStyle w:val="a9"/>
            <w:rFonts w:ascii="Times New Roman" w:eastAsia="Times New Roman" w:hAnsi="Times New Roman" w:cs="Times New Roman"/>
            <w:b w:val="0"/>
            <w:bCs w:val="0"/>
            <w:iCs/>
            <w:sz w:val="24"/>
            <w:szCs w:val="24"/>
            <w:lang w:eastAsia="ru-RU"/>
          </w:rPr>
          <w:t>https://zakon.rada.gov.ua/laws/show/426-2019-п#Text</w:t>
        </w:r>
      </w:hyperlink>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9. Resolution of the Cabinet of Ministers of Ukraine dated August 13, 2025, No. 996. "On Amendments to the Licensing Conditions for Conducting Business Activities Related to the Cultivation of Plants (Excluding Cannabis for Industrial Purposes, as Defined by the Law of Ukraine 'On Narcotic Drugs, Psychotropic Substances, and Precursors')." URL: https://zakon.rada.gov.ua/laws/show/996-2025-%D0%BF#Text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10. Resolution of the Cabinet of Ministers of Ukraine No. 1303 "On the Regulation of the Free-of-Charge and Concessional Dispensing of Medicinal Products Based on Physicians' Prescriptions for Outpatient Treatment of Specific Population Groups and for Certain Categories of Diseases" (current version — version as of January 1, 2025; legal basis: 1542-2024-p). URL: https://zakon.rada.gov.ua/laws/show/1303-98-%D0%BF#Text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11. Resolution of the Cabinet of Ministers of Ukraine No. 902 "On Approval of the Procedure for Exercising State Quality Control over Medicinal Products Imported into Ukraine" (version as of June 1, 2026; legal basis: 377-2026-p). URL: https://zakon.rada.gov.ua/laws/show/902-2005-%D0%BF#Text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12. Resolution of the Cabinet of Ministers of Ukraine dated February 14, 2025, No. 168 "On Amendments to Certain Resolutions of the Cabinet of Ministers of Ukraine Regarding the Stabilization of Prices for Medicinal Products." URL: https://zakon.rada.gov.ua/laws/show/168-2025-%D0%BF#Text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13. Resolution of the Cabinet of Ministers of Ukraine No. 1052 "On Approval of the Regulation on the State Service..." ...of Ukraine on Emergency Situations.” Current version — Version as of September 5, 2025; legal basis: 1090-2025-p</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 URL: https://zakon.rada.gov.ua/laws/show/1052-2015-%D0%BF#Text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14. Resolution of the Cabinet of Ministers of Ukraine dated July 14, 2021, No. 725 “On Approval of the Regulation on the System of Continuous Professional Development for Healthcare Professionals.” URL: https://zakon.rada.gov.ua/laws/show/725-2021-%D0%BF#Text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15. Resolution of the Cabinet of Ministers of Ukraine dated June 4, 2026, No. 742 “On Amendments to Certain Resolutions of the Cabinet of Ministers of Ukraine Regarding the Improvement of the Medicinal Product Reimbursement Program.” URL: https://zakon.rada.gov.ua/laws/show/742-2026-%D0%BF#Text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lastRenderedPageBreak/>
        <w:t>16. Resolution of the Cabinet of Ministers of Ukraine dated September 26, 2024, No. 1121 “Certain Issues Regarding the Safety and Verification of Medicinal Products.” URL: https://zakon.rada.gov.ua/laws/show/1121-2024-%D0%BF#Text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17. Resolution of the Cabinet of Ministers of Ukraine dated May 27, 2026, No. 687 “Certain Issues Regarding the National List of Essential Medicines.” URL: https://zakon.rada.gov.ua/laws/show/687-2026-%D0%BF#Text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 xml:space="preserve">18. Decree of the President of Ukraine regarding the decision of the National Security and Defense Council of Ukraine dated February 12, 2025 ...of the year “On Additional Measures to Ensure the Availability of Medicinal Products for Ukrainians.” URL: </w:t>
      </w:r>
      <w:hyperlink r:id="rId35" w:anchor="Text" w:history="1">
        <w:r w:rsidRPr="00DA4818">
          <w:rPr>
            <w:rStyle w:val="a9"/>
            <w:rFonts w:ascii="Times New Roman" w:hAnsi="Times New Roman" w:cs="Times New Roman"/>
            <w:sz w:val="24"/>
            <w:szCs w:val="24"/>
            <w:lang w:eastAsia="ru-RU"/>
          </w:rPr>
          <w:t>https://zakon.rada.gov.ua/laws/show/82/2025#Text</w:t>
        </w:r>
      </w:hyperlink>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19. Order of the Ministry of Health of Ukraine No. 677 (current version as of March 3, 2026; basis: z0288-26) "On Approval of the Procedure for Quality Control of Medicinal Products during Wholesale and Retail Trade." URL: https://zakon.rada.gov.ua/laws/show/z1515-14#Text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20. Order of the Ministry of Health of Ukraine dated May 14, 2026, No. 618 "On Amendments to Certain Regulatory Legal Acts of the Ministry of Health of Ukraine Regarding Specific Issues of Postgraduate Education in the Healthcare Sector." URL: https://zakon.rada.gov.ua/laws/show/z0783-26#Text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21. Order of the Ministry of Health of Ukraine dated June 16, 2026, No. 815 "On Amendments to the Criteria for Determining Enterprises, Institutions, and Organizations of Importance to the Healthcare Sector of the National Economy." URL: https://zakon.rada.gov.ua/laws/show/z0894-26#Text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22. Order of the Ministry of Health of Ukraine dated May 29, 2026, No. 706 "On Approval of Amendments to the Rules for the Production (Preparation) and Quality Control of Medicinal Products in Pharmacies." URL:  https://zakon.rada.gov.ua/laws/show/z1006-26#Text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23. Order of the Ministry of Health of Ukraine No. 38 dated January 13, 2026, "List of Maximum Wholesale Selling Prices for Medicinal Products and Medical Devices Subject to Reimbursement under the Program of State Guarantees of Medical Care for the Population." URL:</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24. Order of the Ministry of Health of Ukraine dated March 16, 2026, No. 324, "On Approval of the Lists of Medicinal Products and Medical Devices Subject to Reimbursement under the Program of State Guarantees of Medical Care for the Population." URL:</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25. Order of the Ministry of Health of Ukraine dated May 14, 2026, "On Approval of the List of Medical and Pharmaceutical Specialties for Which Mandatory Training of Citizens of Ukraine Is Conducted under the Reserve Officer Training Program." URL: https://zakon.rada.gov.ua/laws/show/z0777-26#Text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26. Order of the Ministry of Health of Ukraine dated April 24, 2026, No. 544, "On Approval of the List of Non-Prescription Medicinal Products Prohibited from Being Advertised." URL: https://zakon.rada.gov.ua/laws/show/z0650-26#Text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27. Order of the Ministry of Health of Ukraine dated March 16, 2026, No. 330, "On Approval of the List of Non-Prescription Medicinal Products Authorized for Use in Ukraine." URL: https://zakon.rada.gov.ua/laws/show/z0423-26#Text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28. Order of the Ministry of Finance of Ukraine No. 547 "On Approval of Procedures for the Registration of Settlement Operation Registrars and Settlement Operation Accounting Books." Version as of September 13, 2022 — regulatory document z0993-22) — URL: https://zakon.rada.gov.ua/laws/show/z0918-16#Text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29. Order of the Ministry of Health of Ukraine dated June 12, 2025, No. 966 "On the Declaration of Maximum Wholesale Selling Prices for Medicinal Products in the National Price Catalog." URL: https://moz.gov.ua/uk/decrees/nakaz-moz-ukrayini-vid-12-06-2025-966-pro-deklaruvannya-granichnih-optovo-vidpusknih-cin-na-likarski-zasobi-v-nacionalnomu-katalozi-cin</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 xml:space="preserve">30. Order of the Ministry of Health of Ukraine dated March 16, 2026, No. 330 "On Approval of the List of Medicinal Products Permitted for Use in Ukraine That Are Dispensed Without a Prescription." URL: </w:t>
      </w:r>
      <w:hyperlink r:id="rId36" w:anchor="Text" w:history="1">
        <w:r w:rsidRPr="00DA4818">
          <w:rPr>
            <w:rStyle w:val="a9"/>
            <w:rFonts w:ascii="Times New Roman" w:hAnsi="Times New Roman" w:cs="Times New Roman"/>
            <w:sz w:val="24"/>
            <w:szCs w:val="24"/>
            <w:lang w:eastAsia="ru-RU"/>
          </w:rPr>
          <w:t>https://zakon.rada.gov.ua/laws/show/z0423-26#Text</w:t>
        </w:r>
      </w:hyperlink>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lastRenderedPageBreak/>
        <w:t>31. Order of the Ministry of Health dated July 21, 2023, No. 1333 “On Amendments to the Order of the Ministry of Health of Ukraine dated July 19, 2005, No. 360.” URL: https://zakon.rada.gov.ua/laws/show/z1332-23#Text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32. Order of the Ministry of Health of Ukraine dated January 15, 2024, No. 73 “On Approval of the Procedure for the Destruction and Disposal of Humanitarian Aid Goods (Items) by Legal Entities Authorized by the Ministry of Health of Ukraine to Receive Medicinal Products, Medical Devices, Consumables, Medical Equipment, Personal Protective Equipment, and Other Goods Necessary for the Proper Provision of the Healthcare Sector under Martial Law.” URL: https://zakon.rada.gov.ua/laws/show/z0190-24#Text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33. Order of the Ministry of Health of Ukraine dated October 17, 2025, No. 1585 “On Approval of the Lists of Medicinal Products and Medical Devices Subject to Reimbursement under the Program of State Guarantees of Medical Care for the Population.” URL: https://moz.gov.ua/uk/decrees/nakaz-moz-ukrayini-vid-17-10-2025-1585-pro-vnesennya-zmin-do-pereliku-likarskih-zasobiv-i-medichnih-virobiv-yaki-pidlyagayut-reimbursaciyi-za-programoyu-derzhavnih-garantij-medichnogo-obslugovuvannya-naselennya</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34. Order of the Ministry of Health of Ukraine dated October 30, 2025, No. 1649 "On the Declaration of Maximum Wholesale Selling Prices for Medicinal Products in the National Price Catalog." URL: https://moz.gov.ua/uk/decrees/nakaz-moz-ukrayini-vid-30-10-2025-1649-pro-deklaruvannya-granichnih-optovo-vidpusknih-cin-na-likarski-zasobi-v-nacionalnomu-katalozi-cin</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35. Order of the Ministry of Health of Ukraine dated July 10, 2025, No. 1099, "On the Approval of State Sanitary Norms and Rules: 'Sanitary and Anti-Epidemic Requirements for Pharmacy Establishments'." URL: https://zakon.rada.gov.ua/laws/show/z1233-25#Text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36. Order of the Ministry of Health of Ukraine dated January 21, 2026, No. 71, "On the Declaration of Maximum Wholesale Selling Prices for Medicinal Products in the National Price Catalog." URL: https://moz.gov.ua/uk/decrees/nakaz-moz-ukrayini-vid-21-01-2026-71-pro-deklaruvannya-granichnih-optovo-vidpusknih-cin-na-likarski-zasobi-v-nacionalnomu-katalozi-cin</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 xml:space="preserve">37. Order of the Ministry of Health of Ukraine dated October 28, 2025, No. 1633 "On Approval of Amendments to the Directory of Qualification Characteristics of Employee Professions. Issue 78 'Healthcare'." URL: </w:t>
      </w:r>
      <w:hyperlink r:id="rId37" w:anchor="Text" w:history="1">
        <w:r w:rsidRPr="00DA4818">
          <w:rPr>
            <w:rStyle w:val="a9"/>
            <w:rFonts w:ascii="Times New Roman" w:hAnsi="Times New Roman" w:cs="Times New Roman"/>
            <w:sz w:val="24"/>
            <w:szCs w:val="24"/>
            <w:lang w:eastAsia="ru-RU"/>
          </w:rPr>
          <w:t>https://zakon.rada.gov.ua/rada/show/v0307282-25#Text</w:t>
        </w:r>
      </w:hyperlink>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38. Order of the Ministry of Health of Ukraine dated June 6, 2022, No. 958 “On Approval of Amendments to the Directory of Qualification Characteristics of Employee Professions. Issue 78 ‘Healthcare’.” URL: https://zakon.rada.gov.ua/rada/show/v0958282-22#Text</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39. Order of the Ministry of Health of Ukraine dated April 16, 2025, No. 650 “On Approval of the Procedure for Attestation of Healthcare Professionals and Amendments to Certain Orders of the Ministry of Health of Ukraine.” URL: (www.umj.com.ua/uk/novyna-266113-novij-poryadok-atestatsiyi-pratsivnikiv-sferi-ohoroni-zdorov-ya)</w:t>
      </w:r>
    </w:p>
    <w:p w:rsidR="00DA4818" w:rsidRPr="00DA4818" w:rsidRDefault="00DA4818" w:rsidP="00DA4818">
      <w:pPr>
        <w:spacing w:after="0" w:line="240" w:lineRule="auto"/>
        <w:jc w:val="both"/>
        <w:rPr>
          <w:rFonts w:ascii="Times New Roman" w:hAnsi="Times New Roman" w:cs="Times New Roman"/>
          <w:sz w:val="24"/>
          <w:szCs w:val="24"/>
          <w:lang w:eastAsia="ru-RU"/>
        </w:rPr>
      </w:pPr>
      <w:r w:rsidRPr="00DA4818">
        <w:rPr>
          <w:rFonts w:ascii="Times New Roman" w:hAnsi="Times New Roman" w:cs="Times New Roman"/>
          <w:sz w:val="24"/>
          <w:szCs w:val="24"/>
          <w:lang w:eastAsia="ru-RU"/>
        </w:rPr>
        <w:t>40. Order of the Ministry of Health of Ukraine dated March 8, 2022, No. 429 “On the Engagement of Higher Education Students, Students of Professional Pre-Higher Education, and Certain Other Categories of Persons to Work in Pharmaceutical (Pharmacy) Establishments and Other Healthcare Facilities During the Period of Martial Law.” URL: https://zakon.rada.gov.ua/rada/show/v0429282-22#Text</w:t>
      </w:r>
    </w:p>
    <w:p w:rsidR="0059160A" w:rsidRDefault="0087327D">
      <w:pPr>
        <w:pStyle w:val="3"/>
        <w:spacing w:before="0"/>
        <w:ind w:firstLine="567"/>
        <w:rPr>
          <w:rFonts w:ascii="Times New Roman" w:hAnsi="Times New Roman" w:cs="Times New Roman"/>
          <w:color w:val="auto"/>
          <w:sz w:val="24"/>
          <w:szCs w:val="24"/>
        </w:rPr>
      </w:pPr>
      <w:r>
        <w:rPr>
          <w:rStyle w:val="ab"/>
          <w:rFonts w:ascii="Times New Roman" w:hAnsi="Times New Roman" w:cs="Times New Roman"/>
          <w:b/>
          <w:bCs/>
          <w:color w:val="auto"/>
          <w:sz w:val="24"/>
          <w:szCs w:val="24"/>
        </w:rPr>
        <w:t>ELECTRONIC RESOURCES</w:t>
      </w:r>
    </w:p>
    <w:p w:rsidR="0059160A" w:rsidRDefault="0087327D">
      <w:pPr>
        <w:pStyle w:val="aa"/>
        <w:numPr>
          <w:ilvl w:val="0"/>
          <w:numId w:val="7"/>
        </w:numPr>
        <w:spacing w:before="0" w:beforeAutospacing="0" w:after="0" w:afterAutospacing="0"/>
        <w:rPr>
          <w:lang w:val="en-US"/>
        </w:rPr>
      </w:pPr>
      <w:r>
        <w:rPr>
          <w:lang w:val="en-US"/>
        </w:rPr>
        <w:t xml:space="preserve">University website: </w:t>
      </w:r>
      <w:hyperlink r:id="rId38" w:history="1">
        <w:r>
          <w:rPr>
            <w:rStyle w:val="a9"/>
            <w:lang w:val="en-US"/>
          </w:rPr>
          <w:t>National Pirogov Memorial Medical University, Vinnytsya</w:t>
        </w:r>
      </w:hyperlink>
    </w:p>
    <w:p w:rsidR="0059160A" w:rsidRDefault="0087327D">
      <w:pPr>
        <w:pStyle w:val="aa"/>
        <w:numPr>
          <w:ilvl w:val="0"/>
          <w:numId w:val="7"/>
        </w:numPr>
        <w:spacing w:before="0" w:beforeAutospacing="0" w:after="0" w:afterAutospacing="0"/>
        <w:rPr>
          <w:lang w:val="en-US"/>
        </w:rPr>
      </w:pPr>
      <w:r>
        <w:rPr>
          <w:lang w:val="en-US"/>
        </w:rPr>
        <w:t xml:space="preserve">Department website: </w:t>
      </w:r>
      <w:hyperlink r:id="rId39" w:history="1">
        <w:r>
          <w:rPr>
            <w:rStyle w:val="a9"/>
            <w:lang w:val="en-US"/>
          </w:rPr>
          <w:t>VNMU Departments</w:t>
        </w:r>
      </w:hyperlink>
      <w:r>
        <w:rPr>
          <w:lang w:val="en-US"/>
        </w:rPr>
        <w:t xml:space="preserve"> — Pharmacy Department</w:t>
      </w:r>
    </w:p>
    <w:p w:rsidR="0059160A" w:rsidRDefault="0087327D">
      <w:pPr>
        <w:pStyle w:val="aa"/>
        <w:numPr>
          <w:ilvl w:val="0"/>
          <w:numId w:val="7"/>
        </w:numPr>
        <w:spacing w:before="0" w:beforeAutospacing="0" w:after="0" w:afterAutospacing="0"/>
        <w:rPr>
          <w:lang w:val="en-US"/>
        </w:rPr>
      </w:pPr>
      <w:r>
        <w:rPr>
          <w:lang w:val="en-US"/>
        </w:rPr>
        <w:t xml:space="preserve">University Library website: </w:t>
      </w:r>
      <w:hyperlink r:id="rId40" w:history="1">
        <w:r>
          <w:rPr>
            <w:rStyle w:val="a9"/>
            <w:lang w:val="en-US"/>
          </w:rPr>
          <w:t>VNMU Library</w:t>
        </w:r>
      </w:hyperlink>
    </w:p>
    <w:p w:rsidR="0059160A" w:rsidRDefault="0087327D">
      <w:pPr>
        <w:pStyle w:val="aa"/>
        <w:numPr>
          <w:ilvl w:val="0"/>
          <w:numId w:val="7"/>
        </w:numPr>
        <w:spacing w:before="0" w:beforeAutospacing="0" w:after="0" w:afterAutospacing="0"/>
        <w:rPr>
          <w:lang w:val="en-US"/>
        </w:rPr>
      </w:pPr>
      <w:r>
        <w:rPr>
          <w:lang w:val="en-US"/>
        </w:rPr>
        <w:t xml:space="preserve">National Scientific Medical Library of Ukraine: </w:t>
      </w:r>
      <w:hyperlink r:id="rId41" w:history="1">
        <w:r>
          <w:rPr>
            <w:rStyle w:val="a9"/>
            <w:lang w:val="en-US"/>
          </w:rPr>
          <w:t>National Scientific Medical Library of Ukraine</w:t>
        </w:r>
      </w:hyperlink>
    </w:p>
    <w:p w:rsidR="0059160A" w:rsidRDefault="0087327D">
      <w:pPr>
        <w:pStyle w:val="aa"/>
        <w:numPr>
          <w:ilvl w:val="0"/>
          <w:numId w:val="7"/>
        </w:numPr>
        <w:spacing w:before="0" w:beforeAutospacing="0" w:after="0" w:afterAutospacing="0"/>
        <w:rPr>
          <w:lang w:val="en-US"/>
        </w:rPr>
      </w:pPr>
      <w:r>
        <w:rPr>
          <w:lang w:val="en-US"/>
        </w:rPr>
        <w:t xml:space="preserve">World Health Organization: </w:t>
      </w:r>
      <w:hyperlink r:id="rId42" w:history="1">
        <w:r>
          <w:rPr>
            <w:rStyle w:val="a9"/>
            <w:lang w:val="en-US"/>
          </w:rPr>
          <w:t>World Health Organization (WHO)</w:t>
        </w:r>
      </w:hyperlink>
    </w:p>
    <w:p w:rsidR="0059160A" w:rsidRDefault="0087327D">
      <w:pPr>
        <w:pStyle w:val="aa"/>
        <w:numPr>
          <w:ilvl w:val="0"/>
          <w:numId w:val="7"/>
        </w:numPr>
        <w:spacing w:before="0" w:beforeAutospacing="0" w:after="0" w:afterAutospacing="0"/>
        <w:rPr>
          <w:lang w:val="en-US"/>
        </w:rPr>
      </w:pPr>
      <w:r>
        <w:rPr>
          <w:lang w:val="en-US"/>
        </w:rPr>
        <w:t xml:space="preserve">Ministry of Health of Ukraine: </w:t>
      </w:r>
      <w:hyperlink r:id="rId43" w:history="1">
        <w:r>
          <w:rPr>
            <w:rStyle w:val="a9"/>
            <w:lang w:val="en-US"/>
          </w:rPr>
          <w:t>Ministry of Health of Ukraine</w:t>
        </w:r>
      </w:hyperlink>
    </w:p>
    <w:p w:rsidR="0059160A" w:rsidRDefault="0087327D">
      <w:pPr>
        <w:pStyle w:val="aa"/>
        <w:numPr>
          <w:ilvl w:val="0"/>
          <w:numId w:val="7"/>
        </w:numPr>
        <w:spacing w:before="0" w:beforeAutospacing="0" w:after="0" w:afterAutospacing="0"/>
        <w:rPr>
          <w:lang w:val="en-US"/>
        </w:rPr>
      </w:pPr>
      <w:r>
        <w:rPr>
          <w:lang w:val="en-US"/>
        </w:rPr>
        <w:t xml:space="preserve">Public Health Center of the Ministry of Health of Ukraine: </w:t>
      </w:r>
      <w:hyperlink r:id="rId44" w:history="1">
        <w:r>
          <w:rPr>
            <w:rStyle w:val="a9"/>
            <w:lang w:val="en-US"/>
          </w:rPr>
          <w:t>Public Health Center of Ukraine</w:t>
        </w:r>
      </w:hyperlink>
    </w:p>
    <w:p w:rsidR="0059160A" w:rsidRDefault="0087327D">
      <w:pPr>
        <w:pStyle w:val="aa"/>
        <w:numPr>
          <w:ilvl w:val="0"/>
          <w:numId w:val="7"/>
        </w:numPr>
        <w:spacing w:before="0" w:beforeAutospacing="0" w:after="0" w:afterAutospacing="0"/>
        <w:rPr>
          <w:lang w:val="en-US"/>
        </w:rPr>
      </w:pPr>
      <w:r>
        <w:rPr>
          <w:lang w:val="en-US"/>
        </w:rPr>
        <w:t xml:space="preserve">English-language database of medical and biomedical literature: </w:t>
      </w:r>
      <w:hyperlink r:id="rId45" w:history="1">
        <w:r>
          <w:rPr>
            <w:rStyle w:val="a9"/>
            <w:lang w:val="en-US"/>
          </w:rPr>
          <w:t>PubMed</w:t>
        </w:r>
      </w:hyperlink>
    </w:p>
    <w:p w:rsidR="0059160A" w:rsidRDefault="0087327D">
      <w:pPr>
        <w:pStyle w:val="aa"/>
        <w:numPr>
          <w:ilvl w:val="0"/>
          <w:numId w:val="7"/>
        </w:numPr>
        <w:spacing w:before="0" w:beforeAutospacing="0" w:after="0" w:afterAutospacing="0"/>
        <w:rPr>
          <w:rStyle w:val="a9"/>
          <w:lang w:val="en-US"/>
        </w:rPr>
      </w:pPr>
      <w:r>
        <w:rPr>
          <w:lang w:val="en-US"/>
        </w:rPr>
        <w:t xml:space="preserve">English-language online resource for physicians and other healthcare professionals: </w:t>
      </w:r>
      <w:hyperlink r:id="rId46" w:history="1">
        <w:r>
          <w:rPr>
            <w:rStyle w:val="a9"/>
            <w:lang w:val="en-US"/>
          </w:rPr>
          <w:t>Medscape</w:t>
        </w:r>
      </w:hyperlink>
    </w:p>
    <w:p w:rsidR="00A1180C" w:rsidRDefault="00A1180C" w:rsidP="00A1180C">
      <w:pPr>
        <w:pStyle w:val="aa"/>
        <w:tabs>
          <w:tab w:val="left" w:pos="425"/>
        </w:tabs>
        <w:spacing w:before="0" w:beforeAutospacing="0" w:after="0" w:afterAutospacing="0"/>
        <w:rPr>
          <w:rStyle w:val="a9"/>
          <w:lang w:val="en-US"/>
        </w:rPr>
      </w:pPr>
    </w:p>
    <w:p w:rsidR="00A1180C" w:rsidRDefault="00A1180C" w:rsidP="00A1180C">
      <w:pPr>
        <w:pStyle w:val="aa"/>
        <w:tabs>
          <w:tab w:val="left" w:pos="425"/>
        </w:tabs>
        <w:spacing w:before="0" w:beforeAutospacing="0" w:after="0" w:afterAutospacing="0"/>
        <w:rPr>
          <w:rStyle w:val="a9"/>
          <w:lang w:val="en-US"/>
        </w:rPr>
      </w:pPr>
      <w:r>
        <w:rPr>
          <w:noProof/>
        </w:rPr>
        <w:lastRenderedPageBreak/>
        <w:drawing>
          <wp:inline distT="0" distB="0" distL="0" distR="0" wp14:anchorId="4FFB5677" wp14:editId="1D668F19">
            <wp:extent cx="6120130" cy="5880735"/>
            <wp:effectExtent l="0" t="0" r="0" b="571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20130" cy="5880735"/>
                    </a:xfrm>
                    <a:prstGeom prst="rect">
                      <a:avLst/>
                    </a:prstGeom>
                    <a:noFill/>
                    <a:ln>
                      <a:noFill/>
                    </a:ln>
                  </pic:spPr>
                </pic:pic>
              </a:graphicData>
            </a:graphic>
          </wp:inline>
        </w:drawing>
      </w:r>
      <w:bookmarkStart w:id="4" w:name="_GoBack"/>
      <w:bookmarkEnd w:id="4"/>
    </w:p>
    <w:sectPr w:rsidR="00A1180C">
      <w:headerReference w:type="default" r:id="rId4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610B" w:rsidRDefault="008C610B">
      <w:pPr>
        <w:spacing w:line="240" w:lineRule="auto"/>
      </w:pPr>
      <w:r>
        <w:separator/>
      </w:r>
    </w:p>
  </w:endnote>
  <w:endnote w:type="continuationSeparator" w:id="0">
    <w:p w:rsidR="008C610B" w:rsidRDefault="008C61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610B" w:rsidRDefault="008C610B">
      <w:pPr>
        <w:spacing w:after="0"/>
      </w:pPr>
      <w:r>
        <w:separator/>
      </w:r>
    </w:p>
  </w:footnote>
  <w:footnote w:type="continuationSeparator" w:id="0">
    <w:p w:rsidR="008C610B" w:rsidRDefault="008C610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461431"/>
    </w:sdtPr>
    <w:sdtEndPr>
      <w:rPr>
        <w:sz w:val="24"/>
        <w:szCs w:val="24"/>
      </w:rPr>
    </w:sdtEndPr>
    <w:sdtContent>
      <w:p w:rsidR="0059160A" w:rsidRDefault="0087327D">
        <w:pPr>
          <w:pStyle w:val="a7"/>
          <w:jc w:val="center"/>
          <w:rPr>
            <w:sz w:val="24"/>
            <w:szCs w:val="24"/>
          </w:rPr>
        </w:pPr>
        <w:r>
          <w:rPr>
            <w:sz w:val="20"/>
            <w:szCs w:val="24"/>
          </w:rPr>
          <w:fldChar w:fldCharType="begin"/>
        </w:r>
        <w:r>
          <w:rPr>
            <w:sz w:val="20"/>
            <w:szCs w:val="24"/>
          </w:rPr>
          <w:instrText>PAGE   \* MERGEFORMAT</w:instrText>
        </w:r>
        <w:r>
          <w:rPr>
            <w:sz w:val="20"/>
            <w:szCs w:val="24"/>
          </w:rPr>
          <w:fldChar w:fldCharType="separate"/>
        </w:r>
        <w:r>
          <w:rPr>
            <w:sz w:val="20"/>
            <w:szCs w:val="24"/>
            <w:lang w:val="ru-RU"/>
          </w:rPr>
          <w:t>8</w:t>
        </w:r>
        <w:r>
          <w:rPr>
            <w:sz w:val="20"/>
            <w:szCs w:val="24"/>
          </w:rPr>
          <w:fldChar w:fldCharType="end"/>
        </w:r>
      </w:p>
    </w:sdtContent>
  </w:sdt>
  <w:p w:rsidR="0059160A" w:rsidRDefault="0059160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190A7F"/>
    <w:multiLevelType w:val="singleLevel"/>
    <w:tmpl w:val="AD190A7F"/>
    <w:lvl w:ilvl="0">
      <w:start w:val="4"/>
      <w:numFmt w:val="decimal"/>
      <w:suff w:val="space"/>
      <w:lvlText w:val="%1."/>
      <w:lvlJc w:val="left"/>
      <w:rPr>
        <w:rFonts w:hint="default"/>
        <w:color w:val="auto"/>
      </w:rPr>
    </w:lvl>
  </w:abstractNum>
  <w:abstractNum w:abstractNumId="1" w15:restartNumberingAfterBreak="0">
    <w:nsid w:val="EA26A8D1"/>
    <w:multiLevelType w:val="multilevel"/>
    <w:tmpl w:val="EA26A8D1"/>
    <w:lvl w:ilvl="0">
      <w:start w:val="1"/>
      <w:numFmt w:val="decimal"/>
      <w:lvlText w:val="%1."/>
      <w:lvlJc w:val="left"/>
      <w:pPr>
        <w:tabs>
          <w:tab w:val="left" w:pos="928"/>
        </w:tabs>
        <w:ind w:left="928" w:hanging="360"/>
      </w:pPr>
      <w:rPr>
        <w:rFonts w:hint="default"/>
      </w:r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2" w15:restartNumberingAfterBreak="0">
    <w:nsid w:val="0053208E"/>
    <w:multiLevelType w:val="multilevel"/>
    <w:tmpl w:val="0053208E"/>
    <w:lvl w:ilvl="0">
      <w:start w:val="1"/>
      <w:numFmt w:val="none"/>
      <w:suff w:val="nothing"/>
      <w:lvlText w:val=""/>
      <w:lvlJc w:val="left"/>
      <w:pPr>
        <w:tabs>
          <w:tab w:val="left" w:pos="0"/>
        </w:tabs>
        <w:ind w:left="0" w:firstLine="0"/>
      </w:pPr>
    </w:lvl>
    <w:lvl w:ilvl="1">
      <w:start w:val="1"/>
      <w:numFmt w:val="none"/>
      <w:pStyle w:val="2"/>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3" w15:restartNumberingAfterBreak="0">
    <w:nsid w:val="0B212D3F"/>
    <w:multiLevelType w:val="multilevel"/>
    <w:tmpl w:val="0B212D3F"/>
    <w:lvl w:ilvl="0">
      <w:start w:val="1"/>
      <w:numFmt w:val="bullet"/>
      <w:lvlText w:val=""/>
      <w:lvlJc w:val="left"/>
      <w:pPr>
        <w:ind w:left="1472" w:hanging="360"/>
      </w:pPr>
      <w:rPr>
        <w:rFonts w:ascii="Symbol" w:hAnsi="Symbol" w:hint="default"/>
      </w:rPr>
    </w:lvl>
    <w:lvl w:ilvl="1">
      <w:start w:val="1"/>
      <w:numFmt w:val="bullet"/>
      <w:lvlText w:val="o"/>
      <w:lvlJc w:val="left"/>
      <w:pPr>
        <w:ind w:left="2192" w:hanging="360"/>
      </w:pPr>
      <w:rPr>
        <w:rFonts w:ascii="Courier New" w:hAnsi="Courier New" w:cs="Courier New" w:hint="default"/>
      </w:rPr>
    </w:lvl>
    <w:lvl w:ilvl="2">
      <w:start w:val="1"/>
      <w:numFmt w:val="bullet"/>
      <w:lvlText w:val=""/>
      <w:lvlJc w:val="left"/>
      <w:pPr>
        <w:ind w:left="2912" w:hanging="360"/>
      </w:pPr>
      <w:rPr>
        <w:rFonts w:ascii="Wingdings" w:hAnsi="Wingdings" w:hint="default"/>
      </w:rPr>
    </w:lvl>
    <w:lvl w:ilvl="3">
      <w:start w:val="1"/>
      <w:numFmt w:val="bullet"/>
      <w:lvlText w:val=""/>
      <w:lvlJc w:val="left"/>
      <w:pPr>
        <w:ind w:left="3632" w:hanging="360"/>
      </w:pPr>
      <w:rPr>
        <w:rFonts w:ascii="Symbol" w:hAnsi="Symbol" w:hint="default"/>
      </w:rPr>
    </w:lvl>
    <w:lvl w:ilvl="4">
      <w:start w:val="1"/>
      <w:numFmt w:val="bullet"/>
      <w:lvlText w:val="o"/>
      <w:lvlJc w:val="left"/>
      <w:pPr>
        <w:ind w:left="4352" w:hanging="360"/>
      </w:pPr>
      <w:rPr>
        <w:rFonts w:ascii="Courier New" w:hAnsi="Courier New" w:cs="Courier New" w:hint="default"/>
      </w:rPr>
    </w:lvl>
    <w:lvl w:ilvl="5">
      <w:start w:val="1"/>
      <w:numFmt w:val="bullet"/>
      <w:lvlText w:val=""/>
      <w:lvlJc w:val="left"/>
      <w:pPr>
        <w:ind w:left="5072" w:hanging="360"/>
      </w:pPr>
      <w:rPr>
        <w:rFonts w:ascii="Wingdings" w:hAnsi="Wingdings" w:hint="default"/>
      </w:rPr>
    </w:lvl>
    <w:lvl w:ilvl="6">
      <w:start w:val="1"/>
      <w:numFmt w:val="bullet"/>
      <w:lvlText w:val=""/>
      <w:lvlJc w:val="left"/>
      <w:pPr>
        <w:ind w:left="5792" w:hanging="360"/>
      </w:pPr>
      <w:rPr>
        <w:rFonts w:ascii="Symbol" w:hAnsi="Symbol" w:hint="default"/>
      </w:rPr>
    </w:lvl>
    <w:lvl w:ilvl="7">
      <w:start w:val="1"/>
      <w:numFmt w:val="bullet"/>
      <w:lvlText w:val="o"/>
      <w:lvlJc w:val="left"/>
      <w:pPr>
        <w:ind w:left="6512" w:hanging="360"/>
      </w:pPr>
      <w:rPr>
        <w:rFonts w:ascii="Courier New" w:hAnsi="Courier New" w:cs="Courier New" w:hint="default"/>
      </w:rPr>
    </w:lvl>
    <w:lvl w:ilvl="8">
      <w:start w:val="1"/>
      <w:numFmt w:val="bullet"/>
      <w:lvlText w:val=""/>
      <w:lvlJc w:val="left"/>
      <w:pPr>
        <w:ind w:left="7232" w:hanging="360"/>
      </w:pPr>
      <w:rPr>
        <w:rFonts w:ascii="Wingdings" w:hAnsi="Wingdings" w:hint="default"/>
      </w:rPr>
    </w:lvl>
  </w:abstractNum>
  <w:abstractNum w:abstractNumId="4" w15:restartNumberingAfterBreak="0">
    <w:nsid w:val="15A9BFAF"/>
    <w:multiLevelType w:val="singleLevel"/>
    <w:tmpl w:val="15A9BFAF"/>
    <w:lvl w:ilvl="0">
      <w:start w:val="1"/>
      <w:numFmt w:val="decimal"/>
      <w:lvlText w:val="%1."/>
      <w:lvlJc w:val="left"/>
      <w:pPr>
        <w:tabs>
          <w:tab w:val="left" w:pos="425"/>
        </w:tabs>
        <w:ind w:left="425" w:hanging="425"/>
      </w:pPr>
      <w:rPr>
        <w:rFonts w:hint="default"/>
      </w:rPr>
    </w:lvl>
  </w:abstractNum>
  <w:abstractNum w:abstractNumId="5" w15:restartNumberingAfterBreak="0">
    <w:nsid w:val="3BAFDB69"/>
    <w:multiLevelType w:val="singleLevel"/>
    <w:tmpl w:val="3BAFDB69"/>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47546025"/>
    <w:multiLevelType w:val="multilevel"/>
    <w:tmpl w:val="47546025"/>
    <w:lvl w:ilvl="0">
      <w:start w:val="1"/>
      <w:numFmt w:val="decimal"/>
      <w:lvlText w:val="%1."/>
      <w:lvlJc w:val="left"/>
      <w:pPr>
        <w:tabs>
          <w:tab w:val="left" w:pos="360"/>
        </w:tabs>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8BA1CAA"/>
    <w:multiLevelType w:val="hybridMultilevel"/>
    <w:tmpl w:val="A0F0AEC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8" w15:restartNumberingAfterBreak="0">
    <w:nsid w:val="65DA2222"/>
    <w:multiLevelType w:val="hybridMultilevel"/>
    <w:tmpl w:val="438CB76C"/>
    <w:lvl w:ilvl="0" w:tplc="4D8209C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0"/>
  </w:num>
  <w:num w:numId="5">
    <w:abstractNumId w:val="1"/>
  </w:num>
  <w:num w:numId="6">
    <w:abstractNumId w:val="6"/>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E29"/>
    <w:rsid w:val="0001077C"/>
    <w:rsid w:val="0005494A"/>
    <w:rsid w:val="0006474B"/>
    <w:rsid w:val="000D511D"/>
    <w:rsid w:val="000F18F8"/>
    <w:rsid w:val="000F1F6B"/>
    <w:rsid w:val="00173494"/>
    <w:rsid w:val="00185AA1"/>
    <w:rsid w:val="001976F3"/>
    <w:rsid w:val="00197E29"/>
    <w:rsid w:val="001E0578"/>
    <w:rsid w:val="001F616B"/>
    <w:rsid w:val="00215755"/>
    <w:rsid w:val="00246043"/>
    <w:rsid w:val="0026081C"/>
    <w:rsid w:val="0028686B"/>
    <w:rsid w:val="002B1BB5"/>
    <w:rsid w:val="002B240A"/>
    <w:rsid w:val="00354E29"/>
    <w:rsid w:val="00357E18"/>
    <w:rsid w:val="00470C6B"/>
    <w:rsid w:val="004C3687"/>
    <w:rsid w:val="00522220"/>
    <w:rsid w:val="0059160A"/>
    <w:rsid w:val="00597A88"/>
    <w:rsid w:val="005A44FE"/>
    <w:rsid w:val="005A6437"/>
    <w:rsid w:val="005B5A12"/>
    <w:rsid w:val="005C7E8B"/>
    <w:rsid w:val="005E3C3B"/>
    <w:rsid w:val="00607B18"/>
    <w:rsid w:val="006103DE"/>
    <w:rsid w:val="006561E2"/>
    <w:rsid w:val="006D1FE6"/>
    <w:rsid w:val="00704A2B"/>
    <w:rsid w:val="007A1F2F"/>
    <w:rsid w:val="007B71B7"/>
    <w:rsid w:val="007D23C1"/>
    <w:rsid w:val="00820858"/>
    <w:rsid w:val="008405EC"/>
    <w:rsid w:val="00842BF5"/>
    <w:rsid w:val="0087327D"/>
    <w:rsid w:val="008A6A9D"/>
    <w:rsid w:val="008C504B"/>
    <w:rsid w:val="008C610B"/>
    <w:rsid w:val="008D44E2"/>
    <w:rsid w:val="008E510B"/>
    <w:rsid w:val="008F1CBD"/>
    <w:rsid w:val="00910269"/>
    <w:rsid w:val="009651DD"/>
    <w:rsid w:val="009D3E70"/>
    <w:rsid w:val="00A1180C"/>
    <w:rsid w:val="00AD1CA7"/>
    <w:rsid w:val="00AD7288"/>
    <w:rsid w:val="00B0506D"/>
    <w:rsid w:val="00B14DE3"/>
    <w:rsid w:val="00B35049"/>
    <w:rsid w:val="00BC2F9B"/>
    <w:rsid w:val="00BF0D88"/>
    <w:rsid w:val="00C24AF5"/>
    <w:rsid w:val="00C840BE"/>
    <w:rsid w:val="00C91D09"/>
    <w:rsid w:val="00D27842"/>
    <w:rsid w:val="00D43415"/>
    <w:rsid w:val="00D93881"/>
    <w:rsid w:val="00DA4818"/>
    <w:rsid w:val="00E277C4"/>
    <w:rsid w:val="00E94118"/>
    <w:rsid w:val="00EB585E"/>
    <w:rsid w:val="00F323C9"/>
    <w:rsid w:val="00F717D9"/>
    <w:rsid w:val="00FD3C74"/>
    <w:rsid w:val="079B6B63"/>
    <w:rsid w:val="09581514"/>
    <w:rsid w:val="0A65029C"/>
    <w:rsid w:val="0B591E2E"/>
    <w:rsid w:val="0D83161E"/>
    <w:rsid w:val="10EC1A90"/>
    <w:rsid w:val="167A6BBC"/>
    <w:rsid w:val="209D4D0F"/>
    <w:rsid w:val="20EB5D43"/>
    <w:rsid w:val="245B23F1"/>
    <w:rsid w:val="271B6632"/>
    <w:rsid w:val="30994C9C"/>
    <w:rsid w:val="3173518D"/>
    <w:rsid w:val="35DD6FE1"/>
    <w:rsid w:val="45F07FFE"/>
    <w:rsid w:val="4662410F"/>
    <w:rsid w:val="4AAF2318"/>
    <w:rsid w:val="4FB12B30"/>
    <w:rsid w:val="56F03A2B"/>
    <w:rsid w:val="5BD9413E"/>
    <w:rsid w:val="5C227DB6"/>
    <w:rsid w:val="62002CEE"/>
    <w:rsid w:val="6C3B7BA1"/>
    <w:rsid w:val="723C307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1A45E7A"/>
  <w15:docId w15:val="{DEF9F7BD-C9E9-4FE2-B9CB-8A8676D1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2">
    <w:name w:val="heading 2"/>
    <w:basedOn w:val="a"/>
    <w:next w:val="a"/>
    <w:qFormat/>
    <w:pPr>
      <w:keepNext/>
      <w:keepLines/>
      <w:numPr>
        <w:ilvl w:val="1"/>
        <w:numId w:val="1"/>
      </w:numPr>
      <w:spacing w:before="40" w:after="0" w:line="240" w:lineRule="auto"/>
      <w:outlineLvl w:val="1"/>
    </w:pPr>
    <w:rPr>
      <w:rFonts w:eastAsia="MS Gothic"/>
      <w:color w:val="365F91"/>
      <w:sz w:val="26"/>
      <w:szCs w:val="26"/>
    </w:rPr>
  </w:style>
  <w:style w:type="paragraph" w:styleId="3">
    <w:name w:val="heading 3"/>
    <w:basedOn w:val="a"/>
    <w:next w:val="a"/>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qFormat/>
    <w:pPr>
      <w:spacing w:after="120"/>
    </w:pPr>
    <w:rPr>
      <w:sz w:val="28"/>
    </w:rPr>
  </w:style>
  <w:style w:type="character" w:styleId="a4">
    <w:name w:val="Emphasis"/>
    <w:basedOn w:val="a0"/>
    <w:uiPriority w:val="20"/>
    <w:qFormat/>
    <w:rPr>
      <w:i/>
      <w:iCs/>
    </w:rPr>
  </w:style>
  <w:style w:type="paragraph" w:styleId="a5">
    <w:name w:val="footer"/>
    <w:basedOn w:val="a"/>
    <w:link w:val="a6"/>
    <w:uiPriority w:val="99"/>
    <w:unhideWhenUsed/>
    <w:qFormat/>
    <w:pPr>
      <w:tabs>
        <w:tab w:val="center" w:pos="4819"/>
        <w:tab w:val="right" w:pos="9639"/>
      </w:tabs>
      <w:spacing w:after="0" w:line="240" w:lineRule="auto"/>
    </w:pPr>
  </w:style>
  <w:style w:type="paragraph" w:styleId="a7">
    <w:name w:val="header"/>
    <w:basedOn w:val="a"/>
    <w:link w:val="a8"/>
    <w:uiPriority w:val="99"/>
    <w:unhideWhenUsed/>
    <w:qFormat/>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styleId="a9">
    <w:name w:val="Hyperlink"/>
    <w:basedOn w:val="a0"/>
    <w:uiPriority w:val="99"/>
    <w:unhideWhenUsed/>
    <w:qFormat/>
    <w:rPr>
      <w:color w:val="0000FF"/>
      <w:u w:val="single"/>
    </w:rPr>
  </w:style>
  <w:style w:type="paragraph" w:styleId="aa">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Strong"/>
    <w:basedOn w:val="a0"/>
    <w:uiPriority w:val="22"/>
    <w:qFormat/>
    <w:rPr>
      <w:b/>
      <w:bCs/>
    </w:rPr>
  </w:style>
  <w:style w:type="table" w:customStyle="1" w:styleId="TableGrid">
    <w:name w:val="TableGrid"/>
    <w:qFormat/>
    <w:rPr>
      <w:rFonts w:eastAsiaTheme="minorEastAsia"/>
    </w:rPr>
    <w:tblPr>
      <w:tblCellMar>
        <w:top w:w="0" w:type="dxa"/>
        <w:left w:w="0" w:type="dxa"/>
        <w:bottom w:w="0" w:type="dxa"/>
        <w:right w:w="0" w:type="dxa"/>
      </w:tblCellMar>
    </w:tblPr>
  </w:style>
  <w:style w:type="character" w:customStyle="1" w:styleId="a8">
    <w:name w:val="Верхній колонтитул Знак"/>
    <w:basedOn w:val="a0"/>
    <w:link w:val="a7"/>
    <w:uiPriority w:val="99"/>
    <w:qFormat/>
    <w:rPr>
      <w:rFonts w:ascii="Times New Roman" w:eastAsia="Times New Roman" w:hAnsi="Times New Roman" w:cs="Times New Roman"/>
      <w:color w:val="000000"/>
      <w:sz w:val="28"/>
      <w:lang w:val="uk-UA" w:eastAsia="uk-UA"/>
    </w:r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uk-UA"/>
    </w:rPr>
  </w:style>
  <w:style w:type="character" w:customStyle="1" w:styleId="a6">
    <w:name w:val="Нижній колонтитул Знак"/>
    <w:basedOn w:val="a0"/>
    <w:link w:val="a5"/>
    <w:uiPriority w:val="99"/>
    <w:qFormat/>
    <w:rPr>
      <w:lang w:val="uk-UA"/>
    </w:rPr>
  </w:style>
  <w:style w:type="table" w:customStyle="1" w:styleId="Style23">
    <w:name w:val="_Style 23"/>
    <w:basedOn w:val="TableNormal1"/>
    <w:qFormat/>
    <w:tblPr>
      <w:tblCellMar>
        <w:top w:w="100" w:type="dxa"/>
        <w:left w:w="100" w:type="dxa"/>
        <w:bottom w:w="100" w:type="dxa"/>
        <w:right w:w="100" w:type="dxa"/>
      </w:tblCellMar>
    </w:tblPr>
  </w:style>
  <w:style w:type="table" w:customStyle="1" w:styleId="TableNormal1">
    <w:name w:val="Table Normal1"/>
    <w:qFormat/>
    <w:tblPr>
      <w:tblCellMar>
        <w:top w:w="0" w:type="dxa"/>
        <w:left w:w="0" w:type="dxa"/>
        <w:bottom w:w="0" w:type="dxa"/>
        <w:right w:w="0" w:type="dxa"/>
      </w:tblCellMar>
    </w:tblPr>
  </w:style>
  <w:style w:type="paragraph" w:styleId="ac">
    <w:name w:val="List Paragraph"/>
    <w:basedOn w:val="a"/>
    <w:uiPriority w:val="34"/>
    <w:qFormat/>
    <w:pPr>
      <w:ind w:left="720"/>
      <w:contextualSpacing/>
    </w:pPr>
  </w:style>
  <w:style w:type="character" w:customStyle="1" w:styleId="markedcontent">
    <w:name w:val="markedcontent"/>
    <w:qFormat/>
  </w:style>
  <w:style w:type="table" w:customStyle="1" w:styleId="Style22">
    <w:name w:val="_Style 22"/>
    <w:basedOn w:val="TableNormal1"/>
    <w:qFormat/>
    <w:tblPr>
      <w:tblCellMar>
        <w:left w:w="115" w:type="dxa"/>
        <w:right w:w="115" w:type="dxa"/>
      </w:tblCellMar>
    </w:tblPr>
  </w:style>
  <w:style w:type="paragraph" w:customStyle="1" w:styleId="ad">
    <w:name w:val="Абзац списка"/>
    <w:basedOn w:val="a"/>
    <w:qFormat/>
    <w:pPr>
      <w:ind w:left="720"/>
      <w:contextualSpacing/>
    </w:pPr>
  </w:style>
  <w:style w:type="character" w:styleId="ae">
    <w:name w:val="Unresolved Mention"/>
    <w:basedOn w:val="a0"/>
    <w:uiPriority w:val="99"/>
    <w:semiHidden/>
    <w:unhideWhenUsed/>
    <w:rsid w:val="00DA4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vnmu.edu.ua/downloads/other/polog_organiz_ocv_proc(2026).pdf" TargetMode="External"/><Relationship Id="rId18" Type="http://schemas.openxmlformats.org/officeDocument/2006/relationships/hyperlink" Target="https://www.vnmu.edu.ua/downloads/other/kodex_akad_dobr_edit%202026.pdf" TargetMode="External"/><Relationship Id="rId26" Type="http://schemas.openxmlformats.org/officeDocument/2006/relationships/hyperlink" Target="https://www.vnmu.edu.ua/?utm_source=chatgpt.com" TargetMode="External"/><Relationship Id="rId39" Type="http://schemas.openxmlformats.org/officeDocument/2006/relationships/hyperlink" Target="https://www.vnmu.edu.ua/&#1082;&#1072;&#1092;&#1077;&#1076;&#1088;&#1072;?utm_source=chatgpt.com" TargetMode="External"/><Relationship Id="rId21" Type="http://schemas.openxmlformats.org/officeDocument/2006/relationships/hyperlink" Target="https://www.vnmu.edu.ua/?utm_source=chatgpt.com" TargetMode="External"/><Relationship Id="rId34" Type="http://schemas.openxmlformats.org/officeDocument/2006/relationships/hyperlink" Target="https://zakon.rada.gov.ua/laws/show/426-2019-&#1087;" TargetMode="External"/><Relationship Id="rId42" Type="http://schemas.openxmlformats.org/officeDocument/2006/relationships/hyperlink" Target="https://www.who.int/?utm_source=chatgpt.com" TargetMode="External"/><Relationship Id="rId47" Type="http://schemas.openxmlformats.org/officeDocument/2006/relationships/image" Target="media/image2.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vnmu.edu.ua/downloads/other/polog_organiz_ocv_proc(2026).pdf" TargetMode="External"/><Relationship Id="rId29" Type="http://schemas.openxmlformats.org/officeDocument/2006/relationships/hyperlink" Target="https://zakon.rada.gov.ua/laws/show/851-IV" TargetMode="Externa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downloads/other/polog_organiz_ocv_proc(2026).pdf" TargetMode="External"/><Relationship Id="rId32" Type="http://schemas.openxmlformats.org/officeDocument/2006/relationships/hyperlink" Target="https://zakon.rada.gov.ua/laws/show/955-2008-%D0%BF" TargetMode="External"/><Relationship Id="rId37" Type="http://schemas.openxmlformats.org/officeDocument/2006/relationships/hyperlink" Target="https://zakon.rada.gov.ua/rada/show/v0307282-25" TargetMode="External"/><Relationship Id="rId40" Type="http://schemas.openxmlformats.org/officeDocument/2006/relationships/hyperlink" Target="http://www.library.vnmu.edu.ua?utm_source=chatgpt.com" TargetMode="External"/><Relationship Id="rId45" Type="http://schemas.openxmlformats.org/officeDocument/2006/relationships/hyperlink" Target="https://pubmed.ncbi.nlm.nih.gov/?utm_source=chatgpt.com" TargetMode="External"/><Relationship Id="rId5" Type="http://schemas.openxmlformats.org/officeDocument/2006/relationships/webSettings" Target="webSettings.xml"/><Relationship Id="rId15" Type="http://schemas.openxmlformats.org/officeDocument/2006/relationships/hyperlink" Target="https://www.vnmu.edu.ua/downloads/other/polog_organiz_ocv_proc(2026).pdf" TargetMode="External"/><Relationship Id="rId23" Type="http://schemas.openxmlformats.org/officeDocument/2006/relationships/hyperlink" Target="https://www.vnmu.edu.ua/downloads/other/polog_organiz_ocv_proc(2026).pdf" TargetMode="External"/><Relationship Id="rId28" Type="http://schemas.openxmlformats.org/officeDocument/2006/relationships/hyperlink" Target="https://www.vnmu.edu.ua/?utm_source=chatgpt.com" TargetMode="External"/><Relationship Id="rId36" Type="http://schemas.openxmlformats.org/officeDocument/2006/relationships/hyperlink" Target="https://zakon.rada.gov.ua/laws/show/z0423-26" TargetMode="External"/><Relationship Id="rId49" Type="http://schemas.openxmlformats.org/officeDocument/2006/relationships/fontTable" Target="fontTable.xml"/><Relationship Id="rId10" Type="http://schemas.openxmlformats.org/officeDocument/2006/relationships/hyperlink" Target="https://www.vnmu.edu.ua/?utm_source=chatgpt.com" TargetMode="External"/><Relationship Id="rId19" Type="http://schemas.openxmlformats.org/officeDocument/2006/relationships/hyperlink" Target="https://www.vnmu.edu.ua/?utm_source=chatgpt.com" TargetMode="External"/><Relationship Id="rId31" Type="http://schemas.openxmlformats.org/officeDocument/2006/relationships/hyperlink" Target="https://zakon.rada.gov.ua/laws/show/687-2026-%D0%BF" TargetMode="External"/><Relationship Id="rId44" Type="http://schemas.openxmlformats.org/officeDocument/2006/relationships/hyperlink" Target="https://phc.org.ua/kontrol-zakhvoryuvan?utm_source=chatgpt.com" TargetMode="External"/><Relationship Id="rId4" Type="http://schemas.openxmlformats.org/officeDocument/2006/relationships/settings" Target="settings.xml"/><Relationship Id="rId9" Type="http://schemas.openxmlformats.org/officeDocument/2006/relationships/hyperlink" Target="mailto:pharmacy@vnmu.edu.ua" TargetMode="External"/><Relationship Id="rId14" Type="http://schemas.openxmlformats.org/officeDocument/2006/relationships/hyperlink" Target="https://www.vnmu.edu.ua/downloads/other/polog_organiz_ocv_proc(2026).pdf" TargetMode="External"/><Relationship Id="rId22" Type="http://schemas.openxmlformats.org/officeDocument/2006/relationships/hyperlink" Target="https://www.vnmu.edu.ua/downloads/other/polog_organiz_ocv_proc(2026).pdf" TargetMode="External"/><Relationship Id="rId27" Type="http://schemas.openxmlformats.org/officeDocument/2006/relationships/hyperlink" Target="https://www.vnmu.edu.ua/?utm_source=chatgpt.com" TargetMode="External"/><Relationship Id="rId30" Type="http://schemas.openxmlformats.org/officeDocument/2006/relationships/hyperlink" Target="https://zakon.rada.gov.ua/laws/show/n0006525-25" TargetMode="External"/><Relationship Id="rId35" Type="http://schemas.openxmlformats.org/officeDocument/2006/relationships/hyperlink" Target="https://zakon.rada.gov.ua/laws/show/82/2025" TargetMode="External"/><Relationship Id="rId43" Type="http://schemas.openxmlformats.org/officeDocument/2006/relationships/hyperlink" Target="https://moz.gov.ua/?utm_source=chatgpt.com" TargetMode="External"/><Relationship Id="rId48"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vnmu.edu.ua/?utm_source=chatgpt.com" TargetMode="External"/><Relationship Id="rId17" Type="http://schemas.openxmlformats.org/officeDocument/2006/relationships/hyperlink" Target="https://www.vnmu.edu.ua/downloads/other/pologPhD_org.pdf" TargetMode="External"/><Relationship Id="rId25" Type="http://schemas.openxmlformats.org/officeDocument/2006/relationships/hyperlink" Target="https://www.vnmu.edu.ua/?utm_source=chatgpt.com" TargetMode="External"/><Relationship Id="rId33" Type="http://schemas.openxmlformats.org/officeDocument/2006/relationships/hyperlink" Target="https://zakon.rada.gov.ua/laws/show/333-2009-%D0%BF" TargetMode="External"/><Relationship Id="rId38" Type="http://schemas.openxmlformats.org/officeDocument/2006/relationships/hyperlink" Target="https://www.vnmu.edu.ua/?utm_source=chatgpt.com" TargetMode="External"/><Relationship Id="rId46" Type="http://schemas.openxmlformats.org/officeDocument/2006/relationships/hyperlink" Target="https://emedicine.medscape.com/pulmology?utm_source=chatgpt.com" TargetMode="External"/><Relationship Id="rId20" Type="http://schemas.openxmlformats.org/officeDocument/2006/relationships/hyperlink" Target="https://www.vnmu.edu.ua/downloads/other/polog_organiz_ocv_proc(2026).pdf" TargetMode="External"/><Relationship Id="rId41" Type="http://schemas.openxmlformats.org/officeDocument/2006/relationships/hyperlink" Target="http://www.library.gov.ua/?utm_source=chatgpt.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6F78FB-7EB7-49CD-90BE-EC74A002B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31303</Words>
  <Characters>17844</Characters>
  <Application>Microsoft Office Word</Application>
  <DocSecurity>0</DocSecurity>
  <Lines>148</Lines>
  <Paragraphs>98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dc:creator>
  <cp:lastModifiedBy>user</cp:lastModifiedBy>
  <cp:revision>8</cp:revision>
  <dcterms:created xsi:type="dcterms:W3CDTF">2026-10-26T11:22:00Z</dcterms:created>
  <dcterms:modified xsi:type="dcterms:W3CDTF">2026-10-28T11:55:00Z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eyJoZGlkIjoiMTYyNTFkZjM3ZTI1MmU2ZWUxNzg0ZDY3YjRkOTExYzEiLCJ1c2VySWQiOiIyODg2MjE4OTk0MDY1In0=</vt:lpwstr>
  </property>
  <property fmtid="{D5CDD505-2E9C-101B-9397-08002B2CF9AE}" pid="3" name="KSOProductBuildVer">
    <vt:lpwstr>1033-12.1.0.29162</vt:lpwstr>
  </property>
  <property fmtid="{D5CDD505-2E9C-101B-9397-08002B2CF9AE}" pid="4" name="ICV">
    <vt:lpwstr>0B4A90A97CAB4DB4BDE00111951458F5_12</vt:lpwstr>
  </property>
</Properties>
</file>