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567D" w:rsidRDefault="00B63B9E">
      <w:pPr>
        <w:ind w:firstLineChars="100" w:firstLine="241"/>
        <w:jc w:val="center"/>
        <w:rPr>
          <w:lang w:val="uk-UA"/>
        </w:rPr>
      </w:pPr>
      <w:r>
        <w:rPr>
          <w:b/>
          <w:u w:val="single"/>
          <w:lang w:val="uk-UA"/>
        </w:rPr>
        <w:t>NATIONAL PIROGOV MEMORIAL MEDICAL UNIVERSITY, VINNYTSIA</w:t>
      </w:r>
    </w:p>
    <w:p w:rsidR="007C567D" w:rsidRDefault="00B63B9E">
      <w:pPr>
        <w:ind w:firstLineChars="100" w:firstLine="240"/>
        <w:jc w:val="center"/>
        <w:rPr>
          <w:b/>
          <w:u w:val="single"/>
          <w:lang w:val="uk-UA"/>
        </w:rPr>
      </w:pPr>
      <w:r>
        <w:rPr>
          <w:noProof/>
        </w:rPr>
        <w:drawing>
          <wp:anchor distT="0" distB="0" distL="114300" distR="114300" simplePos="0" relativeHeight="251659264" behindDoc="0" locked="0" layoutInCell="1" allowOverlap="1">
            <wp:simplePos x="0" y="0"/>
            <wp:positionH relativeFrom="page">
              <wp:posOffset>795655</wp:posOffset>
            </wp:positionH>
            <wp:positionV relativeFrom="paragraph">
              <wp:posOffset>99060</wp:posOffset>
            </wp:positionV>
            <wp:extent cx="691515" cy="925195"/>
            <wp:effectExtent l="0" t="0" r="13335" b="8255"/>
            <wp:wrapNone/>
            <wp:docPr id="1" name="Рисунок 6"/>
            <wp:cNvGraphicFramePr/>
            <a:graphic xmlns:a="http://schemas.openxmlformats.org/drawingml/2006/main">
              <a:graphicData uri="http://schemas.openxmlformats.org/drawingml/2006/picture">
                <pic:pic xmlns:pic="http://schemas.openxmlformats.org/drawingml/2006/picture">
                  <pic:nvPicPr>
                    <pic:cNvPr id="1" name="Рисунок 6"/>
                    <pic:cNvPicPr/>
                  </pic:nvPicPr>
                  <pic:blipFill>
                    <a:blip r:embed="rId7"/>
                    <a:stretch>
                      <a:fillRect/>
                    </a:stretch>
                  </pic:blipFill>
                  <pic:spPr>
                    <a:xfrm>
                      <a:off x="0" y="0"/>
                      <a:ext cx="691515" cy="925195"/>
                    </a:xfrm>
                    <a:prstGeom prst="rect">
                      <a:avLst/>
                    </a:prstGeom>
                    <a:noFill/>
                    <a:ln>
                      <a:noFill/>
                    </a:ln>
                  </pic:spPr>
                </pic:pic>
              </a:graphicData>
            </a:graphic>
          </wp:anchor>
        </w:drawing>
      </w:r>
    </w:p>
    <w:p w:rsidR="007C567D" w:rsidRDefault="007C567D">
      <w:pPr>
        <w:ind w:firstLineChars="100" w:firstLine="240"/>
        <w:jc w:val="center"/>
        <w:rPr>
          <w:u w:val="single"/>
          <w:lang w:val="uk-UA"/>
        </w:rPr>
      </w:pPr>
    </w:p>
    <w:p w:rsidR="007C567D" w:rsidRDefault="007C567D">
      <w:pPr>
        <w:ind w:firstLineChars="100" w:firstLine="240"/>
        <w:jc w:val="center"/>
        <w:rPr>
          <w:u w:val="single"/>
          <w:lang w:val="uk-UA"/>
        </w:rPr>
      </w:pPr>
    </w:p>
    <w:p w:rsidR="007C567D" w:rsidRDefault="007C567D">
      <w:pPr>
        <w:ind w:firstLineChars="100" w:firstLine="240"/>
        <w:jc w:val="center"/>
        <w:rPr>
          <w:u w:val="single"/>
          <w:lang w:val="uk-UA"/>
        </w:rPr>
      </w:pPr>
    </w:p>
    <w:p w:rsidR="007C567D" w:rsidRDefault="007C567D">
      <w:pPr>
        <w:ind w:firstLineChars="100" w:firstLine="240"/>
        <w:jc w:val="center"/>
        <w:rPr>
          <w:u w:val="single"/>
          <w:lang w:val="uk-UA"/>
        </w:rPr>
      </w:pPr>
    </w:p>
    <w:p w:rsidR="007C567D" w:rsidRDefault="007C567D">
      <w:pPr>
        <w:ind w:firstLineChars="100" w:firstLine="240"/>
        <w:jc w:val="center"/>
        <w:rPr>
          <w:u w:val="single"/>
          <w:lang w:val="uk-UA"/>
        </w:rPr>
      </w:pPr>
    </w:p>
    <w:p w:rsidR="007C567D" w:rsidRDefault="007C567D">
      <w:pPr>
        <w:ind w:firstLineChars="100" w:firstLine="240"/>
        <w:jc w:val="center"/>
        <w:rPr>
          <w:u w:val="single"/>
          <w:lang w:val="uk-UA"/>
        </w:rPr>
      </w:pPr>
    </w:p>
    <w:p w:rsidR="007C567D" w:rsidRDefault="007C567D">
      <w:pPr>
        <w:jc w:val="both"/>
        <w:rPr>
          <w:u w:val="single"/>
          <w:lang w:val="uk-UA"/>
        </w:rPr>
      </w:pPr>
    </w:p>
    <w:p w:rsidR="007C567D" w:rsidRDefault="007C567D">
      <w:pPr>
        <w:ind w:firstLineChars="100" w:firstLine="240"/>
        <w:jc w:val="center"/>
        <w:rPr>
          <w:u w:val="single"/>
          <w:lang w:val="uk-UA"/>
        </w:rPr>
      </w:pPr>
    </w:p>
    <w:p w:rsidR="007C567D" w:rsidRDefault="007C567D">
      <w:pPr>
        <w:pStyle w:val="2"/>
        <w:shd w:val="clear" w:color="auto" w:fill="FFFFFF"/>
        <w:spacing w:before="0" w:after="0"/>
        <w:jc w:val="both"/>
        <w:rPr>
          <w:rFonts w:ascii="Times New Roman" w:hAnsi="Times New Roman" w:cs="Times New Roman"/>
          <w:i w:val="0"/>
          <w:iCs w:val="0"/>
          <w:lang w:val="uk-UA"/>
        </w:rPr>
      </w:pPr>
    </w:p>
    <w:p w:rsidR="007C567D" w:rsidRDefault="007C567D">
      <w:pPr>
        <w:pStyle w:val="2"/>
        <w:shd w:val="clear" w:color="auto" w:fill="FFFFFF"/>
        <w:spacing w:before="0" w:after="0"/>
        <w:jc w:val="center"/>
        <w:rPr>
          <w:rFonts w:ascii="Times New Roman" w:hAnsi="Times New Roman" w:cs="Times New Roman"/>
          <w:i w:val="0"/>
          <w:iCs w:val="0"/>
          <w:lang w:val="uk-UA"/>
        </w:rPr>
      </w:pPr>
    </w:p>
    <w:p w:rsidR="007C567D" w:rsidRDefault="00B63B9E">
      <w:pPr>
        <w:pStyle w:val="2"/>
        <w:shd w:val="clear" w:color="auto" w:fill="FFFFFF"/>
        <w:spacing w:before="0" w:after="0"/>
        <w:jc w:val="center"/>
        <w:rPr>
          <w:rFonts w:ascii="Times New Roman" w:hAnsi="Times New Roman" w:cs="Times New Roman"/>
          <w:i w:val="0"/>
          <w:iCs w:val="0"/>
          <w:sz w:val="24"/>
          <w:szCs w:val="24"/>
          <w:lang w:val="uk-UA"/>
        </w:rPr>
      </w:pPr>
      <w:r>
        <w:rPr>
          <w:rFonts w:ascii="Times New Roman" w:hAnsi="Times New Roman" w:cs="Times New Roman"/>
          <w:i w:val="0"/>
          <w:iCs w:val="0"/>
          <w:sz w:val="24"/>
          <w:szCs w:val="24"/>
          <w:lang w:val="uk-UA"/>
        </w:rPr>
        <w:t>COURSE SYLLABUS</w:t>
      </w:r>
    </w:p>
    <w:p w:rsidR="007C567D" w:rsidRDefault="007C567D">
      <w:pPr>
        <w:rPr>
          <w:b/>
          <w:bCs/>
          <w:sz w:val="28"/>
          <w:szCs w:val="28"/>
          <w:lang w:val="uk-UA"/>
        </w:rPr>
      </w:pPr>
    </w:p>
    <w:p w:rsidR="007C567D" w:rsidRDefault="007C567D">
      <w:pPr>
        <w:rPr>
          <w:b/>
          <w:bCs/>
          <w:sz w:val="28"/>
          <w:szCs w:val="28"/>
          <w:lang w:val="uk-UA"/>
        </w:rPr>
      </w:pPr>
    </w:p>
    <w:p w:rsidR="007C567D" w:rsidRDefault="007C567D">
      <w:pPr>
        <w:rPr>
          <w:b/>
          <w:bCs/>
          <w:sz w:val="28"/>
          <w:szCs w:val="28"/>
          <w:lang w:val="uk-UA"/>
        </w:rPr>
      </w:pPr>
    </w:p>
    <w:p w:rsidR="007C567D" w:rsidRDefault="00B63B9E">
      <w:pPr>
        <w:shd w:val="clear" w:color="auto" w:fill="FFFFFF"/>
        <w:rPr>
          <w:b/>
          <w:bCs/>
        </w:rPr>
      </w:pPr>
      <w:r>
        <w:rPr>
          <w:b/>
          <w:bCs/>
        </w:rPr>
        <w:t>Academic discipline for Master’s degree training:</w:t>
      </w:r>
    </w:p>
    <w:p w:rsidR="007C567D" w:rsidRDefault="00C43B36">
      <w:pPr>
        <w:rPr>
          <w:caps/>
          <w:u w:val="single"/>
        </w:rPr>
      </w:pPr>
      <w:r w:rsidRPr="00C43B36">
        <w:rPr>
          <w:b/>
          <w:bCs/>
          <w:caps/>
          <w:u w:val="single"/>
        </w:rPr>
        <w:t>Analysis of the Economic Activity of Pharmaceutical Enterprises</w:t>
      </w:r>
    </w:p>
    <w:tbl>
      <w:tblPr>
        <w:tblW w:w="5000" w:type="pct"/>
        <w:tblCellMar>
          <w:top w:w="15" w:type="dxa"/>
          <w:left w:w="15" w:type="dxa"/>
          <w:bottom w:w="15" w:type="dxa"/>
          <w:right w:w="15" w:type="dxa"/>
        </w:tblCellMar>
        <w:tblLook w:val="04A0" w:firstRow="1" w:lastRow="0" w:firstColumn="1" w:lastColumn="0" w:noHBand="0" w:noVBand="1"/>
      </w:tblPr>
      <w:tblGrid>
        <w:gridCol w:w="4545"/>
        <w:gridCol w:w="5650"/>
      </w:tblGrid>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Specialty</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pPr>
              <w:jc w:val="both"/>
            </w:pPr>
            <w:r>
              <w:rPr>
                <w:color w:val="000000"/>
              </w:rPr>
              <w:t>226 Pharmacy, Industrial Pharmacy </w:t>
            </w:r>
          </w:p>
        </w:tc>
      </w:tr>
      <w:tr w:rsidR="007C567D">
        <w:trPr>
          <w:trHeight w:val="152"/>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Specialisation</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pPr>
              <w:jc w:val="both"/>
            </w:pPr>
            <w:r>
              <w:rPr>
                <w:color w:val="000000"/>
              </w:rPr>
              <w:t>226.01 Фармація</w:t>
            </w:r>
          </w:p>
        </w:tc>
      </w:tr>
      <w:tr w:rsidR="007C567D">
        <w:trPr>
          <w:trHeight w:val="141"/>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Educational Programme</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Pr="00B63B9E" w:rsidRDefault="00B63B9E">
            <w:pPr>
              <w:rPr>
                <w:b/>
              </w:rPr>
            </w:pPr>
            <w:r w:rsidRPr="00B63B9E">
              <w:rPr>
                <w:b/>
              </w:rPr>
              <w:t>EPP “Pharmacy” (2023)</w:t>
            </w:r>
          </w:p>
        </w:tc>
      </w:tr>
      <w:tr w:rsidR="007C567D">
        <w:trPr>
          <w:trHeight w:val="146"/>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Higher Education Level</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Second (Master’s)</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Academic Year</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pPr>
              <w:jc w:val="both"/>
              <w:rPr>
                <w:lang w:val="uk-UA"/>
              </w:rPr>
            </w:pPr>
            <w:r>
              <w:rPr>
                <w:color w:val="000000"/>
              </w:rPr>
              <w:t>202</w:t>
            </w:r>
            <w:r>
              <w:rPr>
                <w:color w:val="000000"/>
                <w:lang w:val="uk-UA"/>
              </w:rPr>
              <w:t>6</w:t>
            </w:r>
            <w:r>
              <w:rPr>
                <w:color w:val="000000"/>
              </w:rPr>
              <w:t>-202</w:t>
            </w:r>
            <w:r>
              <w:rPr>
                <w:color w:val="000000"/>
                <w:lang w:val="uk-UA"/>
              </w:rPr>
              <w:t>7</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Status of the Discipline</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Compulsory</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Language of Instruction</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Ukrainian, English</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Total Workload</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3.0 ECTS credits</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Year of Study / Semester</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6" w:rsidRPr="00C43B36" w:rsidRDefault="00C43B36" w:rsidP="00C43B36">
            <w:pPr>
              <w:jc w:val="both"/>
              <w:rPr>
                <w:lang w:val="en-US"/>
              </w:rPr>
            </w:pPr>
            <w:r w:rsidRPr="00C43B36">
              <w:rPr>
                <w:lang w:val="en-US"/>
              </w:rPr>
              <w:t>V / X (full-time study)</w:t>
            </w:r>
          </w:p>
          <w:p w:rsidR="007C567D" w:rsidRDefault="00C43B36" w:rsidP="00C43B36">
            <w:pPr>
              <w:jc w:val="both"/>
            </w:pPr>
            <w:r w:rsidRPr="00C43B36">
              <w:rPr>
                <w:lang w:val="en-US"/>
              </w:rPr>
              <w:t>V / X (part-time study)</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Course Developer</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C567D" w:rsidRDefault="00B63B9E">
            <w:pPr>
              <w:snapToGrid w:val="0"/>
              <w:jc w:val="both"/>
              <w:rPr>
                <w:lang w:val="uk-UA"/>
              </w:rPr>
            </w:pPr>
            <w:r>
              <w:t>H. Kramar, Associate Professor, Candidate of Pharmaceutical Sciences</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Instructor(s)</w:t>
            </w:r>
          </w:p>
        </w:tc>
        <w:tc>
          <w:tcPr>
            <w:tcW w:w="57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C567D" w:rsidRDefault="00B63B9E">
            <w:pPr>
              <w:snapToGrid w:val="0"/>
              <w:jc w:val="both"/>
            </w:pPr>
            <w:r>
              <w:t>O. Kryvoviaz, Professor, Doctor of Pharmaceutical Sciences;</w:t>
            </w:r>
            <w:r>
              <w:br/>
              <w:t>Yu. Tomashevska, Associate Professor, Candidate of Pharmaceutical Sciences;</w:t>
            </w:r>
            <w:r>
              <w:br/>
              <w:t>O. Toziuk, Associate Professor, Candidate of Pharmaceutical Sciences;</w:t>
            </w:r>
            <w:r>
              <w:br/>
              <w:t>H. Kramar, Associate Professor, Candidate of Pharmaceutical Sciences</w:t>
            </w:r>
          </w:p>
        </w:tc>
      </w:tr>
      <w:tr w:rsidR="007C567D">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B63B9E">
            <w:r>
              <w:t>Venue and Contact Details</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C567D" w:rsidRDefault="00F47185">
            <w:pPr>
              <w:jc w:val="both"/>
            </w:pPr>
            <w:hyperlink r:id="rId8" w:history="1">
              <w:r w:rsidR="00B63B9E">
                <w:rPr>
                  <w:rStyle w:val="aa"/>
                  <w:i/>
                  <w:iCs/>
                </w:rPr>
                <w:t>pharmacy@vnmu.edu.ua</w:t>
              </w:r>
            </w:hyperlink>
            <w:r w:rsidR="00B63B9E">
              <w:rPr>
                <w:i/>
                <w:iCs/>
                <w:color w:val="000000"/>
              </w:rPr>
              <w:t>, м.Вінниця, вул. Пирогова 56, телефон 55 – 39 - 52 </w:t>
            </w:r>
          </w:p>
        </w:tc>
      </w:tr>
    </w:tbl>
    <w:p w:rsidR="007C567D" w:rsidRDefault="007C567D">
      <w:pPr>
        <w:rPr>
          <w:caps/>
          <w:u w:val="single"/>
        </w:rPr>
      </w:pPr>
    </w:p>
    <w:p w:rsidR="007C567D" w:rsidRDefault="007C567D">
      <w:pPr>
        <w:rPr>
          <w:caps/>
          <w:u w:val="single"/>
        </w:rPr>
      </w:pPr>
    </w:p>
    <w:p w:rsidR="007C567D" w:rsidRDefault="00B63B9E">
      <w:pPr>
        <w:spacing w:after="200" w:line="276" w:lineRule="auto"/>
        <w:rPr>
          <w:b/>
        </w:rPr>
      </w:pPr>
      <w:r>
        <w:rPr>
          <w:sz w:val="28"/>
          <w:szCs w:val="28"/>
          <w:lang w:val="uk-UA"/>
        </w:rPr>
        <w:br w:type="page"/>
      </w:r>
    </w:p>
    <w:p w:rsidR="007C567D" w:rsidRDefault="00B63B9E">
      <w:pPr>
        <w:tabs>
          <w:tab w:val="left" w:pos="284"/>
          <w:tab w:val="left" w:pos="567"/>
        </w:tabs>
        <w:ind w:firstLine="567"/>
        <w:jc w:val="both"/>
        <w:rPr>
          <w:b/>
        </w:rPr>
      </w:pPr>
      <w:r>
        <w:rPr>
          <w:b/>
        </w:rPr>
        <w:lastRenderedPageBreak/>
        <w:t>1. DESCRIPTION OF THE ACADEMIC DISCIPLINE</w:t>
      </w:r>
    </w:p>
    <w:p w:rsidR="007C567D" w:rsidRDefault="00B63B9E">
      <w:pPr>
        <w:tabs>
          <w:tab w:val="left" w:pos="284"/>
          <w:tab w:val="left" w:pos="567"/>
        </w:tabs>
        <w:ind w:firstLine="567"/>
        <w:jc w:val="both"/>
        <w:rPr>
          <w:b/>
          <w:bCs/>
        </w:rPr>
      </w:pPr>
      <w:r>
        <w:rPr>
          <w:b/>
          <w:bCs/>
        </w:rPr>
        <w:t>ABSTRACT</w:t>
      </w:r>
    </w:p>
    <w:p w:rsidR="005510AB" w:rsidRDefault="00B63B9E" w:rsidP="005510AB">
      <w:pPr>
        <w:ind w:firstLine="567"/>
        <w:jc w:val="both"/>
      </w:pPr>
      <w:r>
        <w:rPr>
          <w:b/>
          <w:bCs/>
        </w:rPr>
        <w:t xml:space="preserve">Brief course overview and relevance. </w:t>
      </w:r>
      <w:r w:rsidR="005510AB">
        <w:t>The academic discipline "Analysis of the Economic Activity of Pharmaceutical Enterprises" is part of the elective course block for students specializing in 226 Pharmacy, Industrial Pharmacy (specialization 226.01 Pharmacy).</w:t>
      </w:r>
    </w:p>
    <w:p w:rsidR="005510AB" w:rsidRDefault="005510AB" w:rsidP="005510AB">
      <w:pPr>
        <w:ind w:firstLine="567"/>
        <w:jc w:val="both"/>
      </w:pPr>
      <w:r>
        <w:t>This course provides higher education students with systematic knowledge and an understanding of the theoretical foundations for the comprehensive assessment of enterprise operations. It enables them to identify internal reserves for the rational use of material, labor, and financial resources. Students develop the skills to apply methods of economic analysis, evaluate enterprise performance, determine the appropriateness of resource utilization, and identify and calculate reserves for enhancing production efficiency. Furthermore, the course covers addressing economic challenges and formulating effective management decisions and proposals based on these analyses.</w:t>
      </w:r>
    </w:p>
    <w:p w:rsidR="008355DB" w:rsidRDefault="005510AB" w:rsidP="005510AB">
      <w:pPr>
        <w:ind w:firstLine="567"/>
        <w:jc w:val="both"/>
      </w:pPr>
      <w:r>
        <w:t>According to the curriculum, the study of the economic activity of pharmaceutical enterprises takes place during the fifth year of study and comprises lectures, practical sessions, and independent work.</w:t>
      </w:r>
    </w:p>
    <w:p w:rsidR="008355DB" w:rsidRPr="008355DB" w:rsidRDefault="008355DB">
      <w:pPr>
        <w:pStyle w:val="af2"/>
        <w:tabs>
          <w:tab w:val="left" w:pos="1134"/>
        </w:tabs>
        <w:ind w:left="0" w:firstLine="567"/>
        <w:jc w:val="both"/>
        <w:rPr>
          <w:bCs/>
        </w:rPr>
      </w:pPr>
      <w:r w:rsidRPr="008355DB">
        <w:rPr>
          <w:b/>
          <w:bCs/>
        </w:rPr>
        <w:t xml:space="preserve">The subject </w:t>
      </w:r>
      <w:r w:rsidRPr="008355DB">
        <w:rPr>
          <w:bCs/>
        </w:rPr>
        <w:t>matter of this academic discipline comprises financial resources and their flows. The course provides higher education students with foundational knowledge for analyzing the economic activities of business entities; it covers the organization and methodology of economic analysis and develops the ability to apply theoretical knowledge in practical settings, grounded in the conceptual frameworks of a market economy.</w:t>
      </w:r>
    </w:p>
    <w:p w:rsidR="007C567D" w:rsidRDefault="00B63B9E">
      <w:pPr>
        <w:pStyle w:val="af2"/>
        <w:tabs>
          <w:tab w:val="left" w:pos="1134"/>
        </w:tabs>
        <w:ind w:left="0" w:firstLine="567"/>
        <w:jc w:val="both"/>
        <w:rPr>
          <w:lang w:val="uk-UA"/>
        </w:rPr>
      </w:pPr>
      <w:r>
        <w:rPr>
          <w:b/>
          <w:lang w:val="uk-UA"/>
        </w:rPr>
        <w:t>Prerequisites (knowledge from which disciplines is required for successful completion of this course?)</w:t>
      </w:r>
    </w:p>
    <w:p w:rsidR="008355DB" w:rsidRPr="008355DB" w:rsidRDefault="008355DB" w:rsidP="008355DB">
      <w:pPr>
        <w:pStyle w:val="af2"/>
        <w:ind w:left="0" w:hanging="142"/>
        <w:jc w:val="both"/>
        <w:rPr>
          <w:color w:val="000000"/>
          <w:spacing w:val="2"/>
          <w:lang w:val="uk-UA"/>
        </w:rPr>
      </w:pPr>
      <w:r w:rsidRPr="008355DB">
        <w:rPr>
          <w:color w:val="000000"/>
          <w:spacing w:val="2"/>
          <w:lang w:val="uk-UA"/>
        </w:rPr>
        <w:t>This discipline builds upon the study of physics and chemistry acquired during secondary education. It also relies on the following curriculum subjects as prerequisites:</w:t>
      </w:r>
    </w:p>
    <w:p w:rsidR="008355DB" w:rsidRPr="008355DB" w:rsidRDefault="008355DB" w:rsidP="008355DB">
      <w:pPr>
        <w:pStyle w:val="af2"/>
        <w:ind w:left="0" w:hanging="142"/>
        <w:jc w:val="both"/>
        <w:rPr>
          <w:color w:val="000000"/>
          <w:spacing w:val="2"/>
          <w:lang w:val="uk-UA"/>
        </w:rPr>
      </w:pPr>
      <w:r w:rsidRPr="008355DB">
        <w:rPr>
          <w:color w:val="000000"/>
          <w:spacing w:val="2"/>
          <w:lang w:val="uk-UA"/>
        </w:rPr>
        <w:t>- Organization and Economics of Pharmacy — a comprehensive pharmaceutical science and academic discipline that examines the organizational, economic, and managerial foundations of the pharmaceutical system, its enterprises, and institutions, as well as the provision of medicines and other pharmacy-related products to the general public and healthcare facilities;</w:t>
      </w:r>
    </w:p>
    <w:p w:rsidR="008355DB" w:rsidRPr="008355DB" w:rsidRDefault="008355DB" w:rsidP="008355DB">
      <w:pPr>
        <w:pStyle w:val="af2"/>
        <w:ind w:left="0" w:hanging="142"/>
        <w:jc w:val="both"/>
        <w:rPr>
          <w:color w:val="000000"/>
          <w:spacing w:val="2"/>
          <w:lang w:val="uk-UA"/>
        </w:rPr>
      </w:pPr>
      <w:r w:rsidRPr="008355DB">
        <w:rPr>
          <w:color w:val="000000"/>
          <w:spacing w:val="2"/>
          <w:lang w:val="uk-UA"/>
        </w:rPr>
        <w:t>- Pharmacoeconomics — an applied science that studies and compares the economic costs and outcomes of medical and pharmaceutical technologies to determine the most rational use of limited healthcare resources;</w:t>
      </w:r>
    </w:p>
    <w:p w:rsidR="008355DB" w:rsidRDefault="008355DB" w:rsidP="008355DB">
      <w:pPr>
        <w:pStyle w:val="af2"/>
        <w:ind w:left="0" w:hanging="142"/>
        <w:jc w:val="both"/>
        <w:rPr>
          <w:color w:val="000000"/>
          <w:spacing w:val="2"/>
          <w:lang w:val="uk-UA"/>
        </w:rPr>
      </w:pPr>
      <w:r w:rsidRPr="008355DB">
        <w:rPr>
          <w:color w:val="000000"/>
          <w:spacing w:val="2"/>
          <w:lang w:val="uk-UA"/>
        </w:rPr>
        <w:t>- Pharmaceutical Management and Marketing — a system of principles, methods, and tools for managing pharmaceutical enterprises and organizations, aimed at the efficient use of material, financial, human, and informational resources to achieve established goals.</w:t>
      </w:r>
    </w:p>
    <w:p w:rsidR="007C567D" w:rsidRDefault="008355DB" w:rsidP="008355DB">
      <w:pPr>
        <w:pStyle w:val="af2"/>
        <w:ind w:left="0" w:hanging="142"/>
        <w:jc w:val="both"/>
        <w:rPr>
          <w:b/>
          <w:bCs/>
          <w:lang w:eastAsia="uk-UA"/>
        </w:rPr>
      </w:pPr>
      <w:r>
        <w:rPr>
          <w:b/>
          <w:bCs/>
          <w:lang w:val="en-US" w:eastAsia="uk-UA"/>
        </w:rPr>
        <w:t xml:space="preserve">        </w:t>
      </w:r>
      <w:r w:rsidR="00B63B9E">
        <w:rPr>
          <w:b/>
          <w:bCs/>
          <w:lang w:eastAsia="uk-UA"/>
        </w:rPr>
        <w:t>PURPOSE AND OBJECTIVES</w:t>
      </w:r>
    </w:p>
    <w:p w:rsidR="008355DB" w:rsidRDefault="008355DB">
      <w:pPr>
        <w:ind w:firstLine="567"/>
        <w:jc w:val="both"/>
        <w:rPr>
          <w:bCs/>
          <w:lang w:val="uk-UA"/>
        </w:rPr>
      </w:pPr>
      <w:r w:rsidRPr="008355DB">
        <w:rPr>
          <w:bCs/>
          <w:lang w:val="uk-UA"/>
        </w:rPr>
        <w:t>The objective of the course and its significance for professional practice lie in studying the performance outcomes of pharmacy enterprises, determining the impact of various factors on their operational indicators—in order to identify shortcomings and untapped potential—and developing measures aimed at increasing sales volumes and enhancing operational efficiency.</w:t>
      </w:r>
    </w:p>
    <w:p w:rsidR="007C567D" w:rsidRPr="008355DB" w:rsidRDefault="00B63B9E">
      <w:pPr>
        <w:ind w:firstLine="567"/>
        <w:jc w:val="both"/>
        <w:rPr>
          <w:lang w:val="uk-UA"/>
        </w:rPr>
      </w:pPr>
      <w:r w:rsidRPr="008355DB">
        <w:rPr>
          <w:lang w:val="uk-UA"/>
        </w:rPr>
        <w:t>Competencies and learning outcomes supported by the discipline.</w:t>
      </w:r>
    </w:p>
    <w:p w:rsidR="007C567D" w:rsidRDefault="00B63B9E">
      <w:pPr>
        <w:numPr>
          <w:ilvl w:val="0"/>
          <w:numId w:val="2"/>
        </w:numPr>
        <w:shd w:val="clear" w:color="auto" w:fill="FFFFFF"/>
        <w:tabs>
          <w:tab w:val="left" w:pos="192"/>
        </w:tabs>
        <w:ind w:left="0" w:firstLineChars="100" w:firstLine="243"/>
        <w:jc w:val="both"/>
        <w:rPr>
          <w:i/>
        </w:rPr>
      </w:pPr>
      <w:r>
        <w:rPr>
          <w:i/>
          <w:iCs/>
          <w:color w:val="000000"/>
          <w:spacing w:val="3"/>
          <w:lang w:val="en-US"/>
        </w:rPr>
        <w:t>integrated:</w:t>
      </w:r>
      <w:r>
        <w:rPr>
          <w:i/>
          <w:iCs/>
          <w:color w:val="000000"/>
          <w:spacing w:val="3"/>
          <w:lang w:val="uk-UA"/>
        </w:rPr>
        <w:t xml:space="preserve"> </w:t>
      </w:r>
      <w:r>
        <w:rPr>
          <w:rStyle w:val="ae"/>
          <w:b w:val="0"/>
          <w:bCs w:val="0"/>
          <w:lang w:val="en-US"/>
        </w:rPr>
        <w:t>the ability to solve tasks and to comprehend and address practical problems of a research and/or innovative nature in the field of pharmacy.</w:t>
      </w:r>
    </w:p>
    <w:p w:rsidR="007C567D" w:rsidRDefault="00B63B9E">
      <w:pPr>
        <w:pStyle w:val="ab"/>
        <w:numPr>
          <w:ilvl w:val="0"/>
          <w:numId w:val="3"/>
        </w:numPr>
        <w:shd w:val="clear" w:color="auto" w:fill="FFFFFF"/>
        <w:spacing w:before="0" w:beforeAutospacing="0" w:after="0" w:afterAutospacing="0"/>
        <w:ind w:left="0" w:firstLineChars="100" w:firstLine="240"/>
        <w:jc w:val="both"/>
        <w:rPr>
          <w:i/>
          <w:lang w:val="en-US"/>
        </w:rPr>
      </w:pPr>
      <w:r>
        <w:rPr>
          <w:i/>
          <w:lang w:val="en-US"/>
        </w:rPr>
        <w:t>general:</w:t>
      </w:r>
    </w:p>
    <w:p w:rsidR="008355DB" w:rsidRDefault="008355DB" w:rsidP="008355DB">
      <w:pPr>
        <w:pStyle w:val="ab"/>
        <w:numPr>
          <w:ilvl w:val="0"/>
          <w:numId w:val="3"/>
        </w:numPr>
        <w:shd w:val="clear" w:color="auto" w:fill="FFFFFF"/>
        <w:jc w:val="both"/>
      </w:pPr>
      <w:r>
        <w:t>GC 02. Ability for abstract thinking, analysis, and synthesis.</w:t>
      </w:r>
    </w:p>
    <w:p w:rsidR="008355DB" w:rsidRDefault="008355DB" w:rsidP="008355DB">
      <w:pPr>
        <w:pStyle w:val="ab"/>
        <w:numPr>
          <w:ilvl w:val="0"/>
          <w:numId w:val="3"/>
        </w:numPr>
        <w:shd w:val="clear" w:color="auto" w:fill="FFFFFF"/>
        <w:jc w:val="both"/>
      </w:pPr>
      <w:r>
        <w:t>GC 03. Knowledge and understanding of the subject area and of professional activity.</w:t>
      </w:r>
    </w:p>
    <w:p w:rsidR="008355DB" w:rsidRDefault="008355DB" w:rsidP="008355DB">
      <w:pPr>
        <w:pStyle w:val="ab"/>
        <w:numPr>
          <w:ilvl w:val="0"/>
          <w:numId w:val="3"/>
        </w:numPr>
        <w:shd w:val="clear" w:color="auto" w:fill="FFFFFF"/>
        <w:jc w:val="both"/>
      </w:pPr>
      <w:r>
        <w:t>GC 04. Ability to adapt and act in new situations. Ability to show initiative.</w:t>
      </w:r>
    </w:p>
    <w:p w:rsidR="008355DB" w:rsidRDefault="008355DB" w:rsidP="008355DB">
      <w:pPr>
        <w:pStyle w:val="ab"/>
        <w:numPr>
          <w:ilvl w:val="0"/>
          <w:numId w:val="3"/>
        </w:numPr>
        <w:shd w:val="clear" w:color="auto" w:fill="FFFFFF"/>
        <w:jc w:val="both"/>
      </w:pPr>
      <w:r>
        <w:t>GC 06. Skills in using information and communication technologies.</w:t>
      </w:r>
    </w:p>
    <w:p w:rsidR="008355DB" w:rsidRDefault="008355DB" w:rsidP="008355DB">
      <w:pPr>
        <w:pStyle w:val="ab"/>
        <w:numPr>
          <w:ilvl w:val="0"/>
          <w:numId w:val="3"/>
        </w:numPr>
        <w:shd w:val="clear" w:color="auto" w:fill="FFFFFF"/>
        <w:jc w:val="both"/>
      </w:pPr>
      <w:r>
        <w:t>GC 07. Ability to select communication strategies; ability to work in a team and with experts from other fields of knowledge or economic sectors.</w:t>
      </w:r>
    </w:p>
    <w:p w:rsidR="008355DB" w:rsidRDefault="008355DB" w:rsidP="008355DB">
      <w:pPr>
        <w:pStyle w:val="ab"/>
        <w:numPr>
          <w:ilvl w:val="0"/>
          <w:numId w:val="3"/>
        </w:numPr>
        <w:shd w:val="clear" w:color="auto" w:fill="FFFFFF"/>
        <w:jc w:val="both"/>
      </w:pPr>
      <w:r>
        <w:t>GC 08. Ability to evaluate and ensure the quality of work performed.</w:t>
      </w:r>
    </w:p>
    <w:p w:rsidR="008355DB" w:rsidRDefault="008355DB" w:rsidP="008355DB">
      <w:pPr>
        <w:pStyle w:val="ab"/>
        <w:numPr>
          <w:ilvl w:val="0"/>
          <w:numId w:val="3"/>
        </w:numPr>
        <w:shd w:val="clear" w:color="auto" w:fill="FFFFFF"/>
        <w:jc w:val="both"/>
      </w:pPr>
      <w:r>
        <w:t>GC 09. Ability to conduct research at an appropriate level.</w:t>
      </w:r>
    </w:p>
    <w:p w:rsidR="008355DB" w:rsidRPr="008355DB" w:rsidRDefault="008355DB" w:rsidP="008355DB">
      <w:pPr>
        <w:pStyle w:val="ab"/>
        <w:numPr>
          <w:ilvl w:val="0"/>
          <w:numId w:val="3"/>
        </w:numPr>
        <w:shd w:val="clear" w:color="auto" w:fill="FFFFFF"/>
        <w:spacing w:before="0" w:beforeAutospacing="0" w:after="0" w:afterAutospacing="0"/>
        <w:ind w:left="284" w:firstLine="0"/>
        <w:jc w:val="both"/>
        <w:rPr>
          <w:i/>
          <w:lang w:val="en-US"/>
        </w:rPr>
      </w:pPr>
      <w:r>
        <w:t xml:space="preserve">GC 11. Ability to preserve and enhance the moral, cultural, and scientific values ​​and achievements of society—based on an understanding of the history and developmental patterns of the subject area, its </w:t>
      </w:r>
      <w:r>
        <w:lastRenderedPageBreak/>
        <w:t>place within the broader system of knowledge about nature and society, and its role in the evolution of society, technology, and engineering—as well as the ability to engage in various forms of physical activity for active leisure and the maintenance of a healthy lifestyle.</w:t>
      </w:r>
    </w:p>
    <w:p w:rsidR="007C567D" w:rsidRDefault="00B63B9E" w:rsidP="008355DB">
      <w:pPr>
        <w:pStyle w:val="ab"/>
        <w:numPr>
          <w:ilvl w:val="0"/>
          <w:numId w:val="3"/>
        </w:numPr>
        <w:shd w:val="clear" w:color="auto" w:fill="FFFFFF"/>
        <w:spacing w:before="0" w:beforeAutospacing="0" w:after="0" w:afterAutospacing="0"/>
        <w:ind w:left="284" w:firstLine="0"/>
        <w:jc w:val="both"/>
        <w:rPr>
          <w:i/>
          <w:lang w:val="en-US"/>
        </w:rPr>
      </w:pPr>
      <w:r>
        <w:rPr>
          <w:i/>
          <w:lang w:val="en-US"/>
        </w:rPr>
        <w:t>specialised (professional, subject-specific) competences (PC):</w:t>
      </w:r>
    </w:p>
    <w:p w:rsidR="007C567D" w:rsidRDefault="00B63B9E">
      <w:pPr>
        <w:pStyle w:val="af2"/>
        <w:ind w:left="0" w:firstLine="567"/>
        <w:jc w:val="both"/>
      </w:pPr>
      <w:r>
        <w:t>PC 01. The ability to collect, interpret, and apply data necessary for professional activities, conducting research, and implementing innovative projects in the field of pharmacy.</w:t>
      </w:r>
    </w:p>
    <w:p w:rsidR="007C567D" w:rsidRDefault="00B63B9E">
      <w:pPr>
        <w:pStyle w:val="af2"/>
        <w:ind w:left="0" w:firstLine="567"/>
        <w:jc w:val="both"/>
      </w:pPr>
      <w:r>
        <w:t>PC 03. The ability to solve problems in the field of pharmacy within new or unfamiliar environments, given limited information, while taking into account aspects of social and ethical responsibility.</w:t>
      </w:r>
    </w:p>
    <w:p w:rsidR="007C567D" w:rsidRDefault="00B63B9E">
      <w:pPr>
        <w:pStyle w:val="af2"/>
        <w:ind w:left="0" w:firstLine="567"/>
        <w:jc w:val="both"/>
      </w:pPr>
      <w:r>
        <w:t>PC 04. The ability to apply knowledge of the regulatory and legislative acts of Ukraine, as well as guidelines for Good Pharmaceutical Practices, in professional activities.</w:t>
      </w:r>
    </w:p>
    <w:p w:rsidR="007C567D" w:rsidRDefault="00B63B9E">
      <w:pPr>
        <w:pStyle w:val="af2"/>
        <w:ind w:left="0" w:firstLine="567"/>
        <w:jc w:val="both"/>
      </w:pPr>
      <w:r>
        <w:t>PC 05. The ability to demonstrate and apply communication skills, as well as the fundamental principles of pharmaceutical ethics and deontology—grounded in moral obligations, values, ethical standards of professional conduct, and responsibility—in accordance with the Code of Ethics for Pharmaceutical Professionals of Ukraine and WHO guidelines.</w:t>
      </w:r>
    </w:p>
    <w:p w:rsidR="007C567D" w:rsidRDefault="00B63B9E">
      <w:pPr>
        <w:pStyle w:val="af2"/>
        <w:ind w:left="0" w:firstLine="567"/>
        <w:jc w:val="both"/>
      </w:pPr>
      <w:r>
        <w:t>PC 06. The ability to communicate one’s knowledge, conclusions, and reasoning in the field of pharmacy clearly and unambiguously to both specialists and non-specialists, including learners. PC 09. The ability to provide consultation regarding prescription and non-prescription medicinal products and other pharmacy-assortment goods, as well as aspects of healthy nutrition; and to provide pharmaceutical care during the selection and dispensing of medicinal products of natural and synthetic origin. This involves evaluating the risk-benefit ratio and compatibility, taking into account their biopharmaceutical, pharmacokinetic, pharmacodynamic, and physicochemical/chemical characteristics, as well as indications and contraindications for use, while considering the specific health status of the individual patient.</w:t>
      </w:r>
    </w:p>
    <w:p w:rsidR="007C567D" w:rsidRDefault="00B63B9E">
      <w:pPr>
        <w:pStyle w:val="af2"/>
        <w:ind w:left="0" w:firstLine="567"/>
        <w:jc w:val="both"/>
      </w:pPr>
      <w:r>
        <w:t>PC 18. The ability to organize and carry out the compounding activities of pharmacies—specifically the preparation of medicinal products in various dosage forms based on physicians' prescriptions and orders from healthcare institutions—including justifying the technology used and selecting excipients in accordance with Good Pharmacy Practice (GPP) guidelines.</w:t>
      </w:r>
    </w:p>
    <w:p w:rsidR="007C567D" w:rsidRDefault="00B63B9E">
      <w:pPr>
        <w:pStyle w:val="af2"/>
        <w:ind w:left="0" w:firstLine="567"/>
        <w:jc w:val="both"/>
        <w:rPr>
          <w:b/>
          <w:bCs/>
        </w:rPr>
      </w:pPr>
      <w:r>
        <w:rPr>
          <w:b/>
          <w:bCs/>
        </w:rPr>
        <w:t>Post-requisites (how the course supports further study and professional practice).</w:t>
      </w:r>
    </w:p>
    <w:p w:rsidR="007C567D" w:rsidRDefault="008355DB">
      <w:pPr>
        <w:pStyle w:val="af2"/>
        <w:tabs>
          <w:tab w:val="left" w:pos="1418"/>
        </w:tabs>
        <w:ind w:left="0" w:firstLine="567"/>
        <w:jc w:val="both"/>
        <w:rPr>
          <w:color w:val="000000"/>
          <w:spacing w:val="3"/>
          <w:lang w:val="uk-UA"/>
        </w:rPr>
      </w:pPr>
      <w:r w:rsidRPr="008355DB">
        <w:rPr>
          <w:color w:val="000000"/>
          <w:spacing w:val="3"/>
          <w:lang w:val="uk-UA"/>
        </w:rPr>
        <w:t>Studying the discipline "Analysis of the Economic Activity of Pharmaceutical Enterprises" facilitates the development of knowledge and practical skills necessary for the subsequent mastery of such educational components as: industrial internship in the Organization and Economics of Pharmacy, clinical pharmacy and pharmaceutical care, and pharmaceutical and medical commodity science.</w:t>
      </w:r>
    </w:p>
    <w:p w:rsidR="007C567D" w:rsidRDefault="00B63B9E">
      <w:pPr>
        <w:pStyle w:val="af2"/>
        <w:tabs>
          <w:tab w:val="left" w:pos="1418"/>
        </w:tabs>
        <w:ind w:left="0" w:firstLine="567"/>
        <w:jc w:val="both"/>
        <w:rPr>
          <w:bCs/>
          <w:lang w:val="uk-UA"/>
        </w:rPr>
      </w:pPr>
      <w:r>
        <w:rPr>
          <w:b/>
          <w:bCs/>
          <w:lang w:val="uk-UA"/>
        </w:rPr>
        <w:t>2. LEARNING OUTCOMES</w:t>
      </w:r>
    </w:p>
    <w:p w:rsidR="008355DB" w:rsidRPr="008355DB" w:rsidRDefault="008355DB" w:rsidP="008355DB">
      <w:pPr>
        <w:ind w:firstLine="567"/>
        <w:jc w:val="both"/>
        <w:rPr>
          <w:rStyle w:val="markedcontent"/>
        </w:rPr>
      </w:pPr>
      <w:r w:rsidRPr="008355DB">
        <w:rPr>
          <w:rStyle w:val="markedcontent"/>
        </w:rPr>
        <w:t>PLO 03. Evaluate and ensure the quality and efficiency of operations within the pharmaceutical sector.</w:t>
      </w:r>
    </w:p>
    <w:p w:rsidR="008355DB" w:rsidRPr="008355DB" w:rsidRDefault="008355DB" w:rsidP="008355DB">
      <w:pPr>
        <w:ind w:firstLine="567"/>
        <w:jc w:val="both"/>
        <w:rPr>
          <w:rStyle w:val="markedcontent"/>
        </w:rPr>
      </w:pPr>
      <w:r w:rsidRPr="008355DB">
        <w:rPr>
          <w:rStyle w:val="markedcontent"/>
        </w:rPr>
        <w:t>PLO 17. Implement appropriate organizational and managerial measures to supply the population and healthcare institutions with medicinal products and other pharmacy-assortment goods; manage all types of reporting and record-keeping in pharmacy establishments, handle administrative documentation, and conduct commodity analysis.</w:t>
      </w:r>
    </w:p>
    <w:p w:rsidR="007C567D" w:rsidRDefault="008355DB" w:rsidP="008355DB">
      <w:pPr>
        <w:ind w:firstLine="567"/>
        <w:jc w:val="both"/>
        <w:rPr>
          <w:rStyle w:val="markedcontent"/>
        </w:rPr>
      </w:pPr>
      <w:r w:rsidRPr="008355DB">
        <w:rPr>
          <w:rStyle w:val="markedcontent"/>
        </w:rPr>
        <w:t>PLO 19. Calculate key economic indicators for pharmacy operations, as well as taxes and levies. Determine various types of prices (wholesale, purchase, and retail) for medicinal products and other pharmacy-assortment goods.</w:t>
      </w:r>
      <w:r w:rsidR="00B63B9E">
        <w:rPr>
          <w:rStyle w:val="markedcontent"/>
        </w:rPr>
        <w:br w:type="page"/>
      </w:r>
    </w:p>
    <w:p w:rsidR="007C567D" w:rsidRDefault="007C567D">
      <w:pPr>
        <w:ind w:firstLineChars="100" w:firstLine="240"/>
        <w:jc w:val="both"/>
        <w:rPr>
          <w:rStyle w:val="markedcontent"/>
        </w:rPr>
      </w:pPr>
    </w:p>
    <w:p w:rsidR="007C567D" w:rsidRDefault="00B63B9E">
      <w:pPr>
        <w:widowControl w:val="0"/>
        <w:tabs>
          <w:tab w:val="left" w:pos="851"/>
        </w:tabs>
        <w:autoSpaceDE w:val="0"/>
        <w:autoSpaceDN w:val="0"/>
        <w:ind w:firstLine="567"/>
        <w:jc w:val="both"/>
        <w:rPr>
          <w:b/>
          <w:caps/>
        </w:rPr>
      </w:pPr>
      <w:r>
        <w:rPr>
          <w:b/>
          <w:caps/>
        </w:rPr>
        <w:t>3. FORMS OF ORGANISATION OF THE EDUCATIONAL PROCESS AND THEIR SCOPE</w:t>
      </w:r>
    </w:p>
    <w:tbl>
      <w:tblPr>
        <w:tblW w:w="9595"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35"/>
        <w:gridCol w:w="4660"/>
      </w:tblGrid>
      <w:tr w:rsidR="008355DB" w:rsidRPr="008355DB" w:rsidTr="00537310">
        <w:trPr>
          <w:trHeight w:val="276"/>
        </w:trPr>
        <w:tc>
          <w:tcPr>
            <w:tcW w:w="4935" w:type="dxa"/>
          </w:tcPr>
          <w:p w:rsidR="008355DB" w:rsidRPr="008355DB" w:rsidRDefault="008355DB" w:rsidP="008355DB">
            <w:pPr>
              <w:ind w:firstLine="567"/>
              <w:jc w:val="center"/>
              <w:rPr>
                <w:rFonts w:eastAsiaTheme="minorHAnsi"/>
                <w:b/>
                <w:bCs/>
                <w:sz w:val="20"/>
                <w:szCs w:val="20"/>
                <w:lang w:val="en-US" w:eastAsia="en-US"/>
              </w:rPr>
            </w:pPr>
            <w:r w:rsidRPr="008355DB">
              <w:rPr>
                <w:rFonts w:eastAsiaTheme="minorHAnsi"/>
                <w:b/>
                <w:bCs/>
                <w:sz w:val="20"/>
                <w:szCs w:val="20"/>
                <w:lang w:val="uk-UA" w:eastAsia="en-US"/>
              </w:rPr>
              <w:t>Type of Learning Activity</w:t>
            </w:r>
          </w:p>
        </w:tc>
        <w:tc>
          <w:tcPr>
            <w:tcW w:w="4660" w:type="dxa"/>
          </w:tcPr>
          <w:p w:rsidR="008355DB" w:rsidRPr="008355DB" w:rsidRDefault="008355DB" w:rsidP="008355DB">
            <w:pPr>
              <w:widowControl w:val="0"/>
              <w:autoSpaceDE w:val="0"/>
              <w:autoSpaceDN w:val="0"/>
              <w:ind w:firstLine="567"/>
              <w:jc w:val="center"/>
              <w:rPr>
                <w:b/>
                <w:sz w:val="20"/>
                <w:szCs w:val="20"/>
                <w:lang w:val="en-US" w:eastAsia="en-US"/>
              </w:rPr>
            </w:pPr>
            <w:r w:rsidRPr="008355DB">
              <w:rPr>
                <w:b/>
                <w:spacing w:val="-2"/>
                <w:sz w:val="20"/>
                <w:szCs w:val="20"/>
                <w:lang w:val="en-US" w:eastAsia="en-US"/>
              </w:rPr>
              <w:t>Hours</w:t>
            </w:r>
          </w:p>
        </w:tc>
      </w:tr>
      <w:tr w:rsidR="008355DB" w:rsidRPr="008355DB" w:rsidTr="00537310">
        <w:trPr>
          <w:trHeight w:val="369"/>
        </w:trPr>
        <w:tc>
          <w:tcPr>
            <w:tcW w:w="9595" w:type="dxa"/>
            <w:gridSpan w:val="2"/>
          </w:tcPr>
          <w:p w:rsidR="008355DB" w:rsidRPr="008355DB" w:rsidRDefault="008355DB" w:rsidP="008355DB">
            <w:pPr>
              <w:widowControl w:val="0"/>
              <w:autoSpaceDE w:val="0"/>
              <w:autoSpaceDN w:val="0"/>
              <w:ind w:firstLine="567"/>
              <w:jc w:val="center"/>
              <w:rPr>
                <w:b/>
                <w:spacing w:val="-2"/>
                <w:sz w:val="20"/>
                <w:szCs w:val="20"/>
                <w:lang w:val="uk-UA" w:eastAsia="en-US"/>
              </w:rPr>
            </w:pPr>
            <w:r w:rsidRPr="008355DB">
              <w:rPr>
                <w:rFonts w:eastAsiaTheme="minorHAnsi"/>
                <w:b/>
                <w:sz w:val="20"/>
                <w:szCs w:val="20"/>
                <w:lang w:val="uk-UA" w:eastAsia="en-US"/>
              </w:rPr>
              <w:t>Full-time form of study</w:t>
            </w:r>
          </w:p>
        </w:tc>
      </w:tr>
      <w:tr w:rsidR="008355DB" w:rsidRPr="008355DB" w:rsidTr="00537310">
        <w:trPr>
          <w:trHeight w:val="369"/>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sz w:val="20"/>
                <w:szCs w:val="20"/>
                <w:lang w:val="uk-UA" w:eastAsia="en-US"/>
              </w:rPr>
              <w:t>Lectures:</w:t>
            </w:r>
          </w:p>
        </w:tc>
        <w:tc>
          <w:tcPr>
            <w:tcW w:w="4660" w:type="dxa"/>
          </w:tcPr>
          <w:p w:rsidR="008355DB" w:rsidRPr="008355DB" w:rsidRDefault="008355DB" w:rsidP="008355DB">
            <w:pPr>
              <w:widowControl w:val="0"/>
              <w:autoSpaceDE w:val="0"/>
              <w:autoSpaceDN w:val="0"/>
              <w:ind w:firstLine="567"/>
              <w:jc w:val="center"/>
              <w:rPr>
                <w:b/>
                <w:spacing w:val="-2"/>
                <w:sz w:val="20"/>
                <w:szCs w:val="20"/>
                <w:lang w:val="en-US" w:eastAsia="en-US"/>
              </w:rPr>
            </w:pPr>
            <w:r>
              <w:rPr>
                <w:rFonts w:eastAsiaTheme="minorHAnsi"/>
                <w:b/>
                <w:spacing w:val="-2"/>
                <w:sz w:val="20"/>
                <w:szCs w:val="20"/>
                <w:lang w:val="en-US" w:eastAsia="en-US"/>
              </w:rPr>
              <w:t>10</w:t>
            </w:r>
          </w:p>
        </w:tc>
      </w:tr>
      <w:tr w:rsidR="008355DB" w:rsidRPr="008355DB" w:rsidTr="00537310">
        <w:trPr>
          <w:trHeight w:val="419"/>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sz w:val="20"/>
                <w:szCs w:val="20"/>
                <w:lang w:val="uk-UA" w:eastAsia="en-US"/>
              </w:rPr>
              <w:t>Practical Classes:</w:t>
            </w:r>
          </w:p>
        </w:tc>
        <w:tc>
          <w:tcPr>
            <w:tcW w:w="4660" w:type="dxa"/>
          </w:tcPr>
          <w:p w:rsidR="008355DB" w:rsidRPr="008355DB" w:rsidRDefault="008355DB" w:rsidP="008355DB">
            <w:pPr>
              <w:widowControl w:val="0"/>
              <w:autoSpaceDE w:val="0"/>
              <w:autoSpaceDN w:val="0"/>
              <w:ind w:firstLine="567"/>
              <w:jc w:val="center"/>
              <w:rPr>
                <w:b/>
                <w:spacing w:val="-2"/>
                <w:sz w:val="20"/>
                <w:szCs w:val="20"/>
                <w:lang w:val="en-US" w:eastAsia="en-US"/>
              </w:rPr>
            </w:pPr>
            <w:r>
              <w:rPr>
                <w:rFonts w:eastAsiaTheme="minorHAnsi"/>
                <w:b/>
                <w:spacing w:val="-2"/>
                <w:sz w:val="20"/>
                <w:szCs w:val="20"/>
                <w:lang w:val="en-US" w:eastAsia="en-US"/>
              </w:rPr>
              <w:t>30</w:t>
            </w:r>
          </w:p>
        </w:tc>
      </w:tr>
      <w:tr w:rsidR="008355DB" w:rsidRPr="008355DB" w:rsidTr="00537310">
        <w:trPr>
          <w:trHeight w:val="411"/>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sz w:val="20"/>
                <w:szCs w:val="20"/>
                <w:lang w:val="uk-UA" w:eastAsia="en-US"/>
              </w:rPr>
              <w:t>Independent Study (IS):</w:t>
            </w:r>
          </w:p>
        </w:tc>
        <w:tc>
          <w:tcPr>
            <w:tcW w:w="4660" w:type="dxa"/>
          </w:tcPr>
          <w:p w:rsidR="008355DB" w:rsidRPr="008355DB" w:rsidRDefault="008355DB" w:rsidP="008355DB">
            <w:pPr>
              <w:widowControl w:val="0"/>
              <w:autoSpaceDE w:val="0"/>
              <w:autoSpaceDN w:val="0"/>
              <w:ind w:firstLine="567"/>
              <w:jc w:val="center"/>
              <w:rPr>
                <w:b/>
                <w:spacing w:val="-2"/>
                <w:sz w:val="20"/>
                <w:szCs w:val="20"/>
                <w:lang w:val="en-US" w:eastAsia="en-US"/>
              </w:rPr>
            </w:pPr>
            <w:r>
              <w:rPr>
                <w:b/>
                <w:spacing w:val="-2"/>
                <w:sz w:val="20"/>
                <w:szCs w:val="20"/>
                <w:lang w:val="en-US" w:eastAsia="en-US"/>
              </w:rPr>
              <w:t>50</w:t>
            </w:r>
          </w:p>
        </w:tc>
      </w:tr>
      <w:tr w:rsidR="008355DB" w:rsidRPr="008355DB" w:rsidTr="00537310">
        <w:trPr>
          <w:trHeight w:val="403"/>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b/>
                <w:bCs/>
                <w:sz w:val="20"/>
                <w:szCs w:val="20"/>
                <w:lang w:val="uk-UA" w:eastAsia="en-US"/>
              </w:rPr>
              <w:t>Total</w:t>
            </w:r>
          </w:p>
        </w:tc>
        <w:tc>
          <w:tcPr>
            <w:tcW w:w="4660" w:type="dxa"/>
          </w:tcPr>
          <w:p w:rsidR="008355DB" w:rsidRPr="008355DB" w:rsidRDefault="008355DB" w:rsidP="008355DB">
            <w:pPr>
              <w:widowControl w:val="0"/>
              <w:autoSpaceDE w:val="0"/>
              <w:autoSpaceDN w:val="0"/>
              <w:ind w:firstLine="567"/>
              <w:jc w:val="center"/>
              <w:rPr>
                <w:b/>
                <w:sz w:val="20"/>
                <w:szCs w:val="20"/>
                <w:lang w:val="en-US" w:eastAsia="en-US"/>
              </w:rPr>
            </w:pPr>
            <w:r w:rsidRPr="008355DB">
              <w:rPr>
                <w:rFonts w:eastAsiaTheme="minorHAnsi"/>
                <w:b/>
                <w:sz w:val="20"/>
                <w:szCs w:val="20"/>
                <w:lang w:val="en-US" w:eastAsia="en-US"/>
              </w:rPr>
              <w:t>90</w:t>
            </w:r>
          </w:p>
        </w:tc>
      </w:tr>
      <w:tr w:rsidR="008355DB" w:rsidRPr="008355DB" w:rsidTr="00537310">
        <w:trPr>
          <w:trHeight w:val="403"/>
        </w:trPr>
        <w:tc>
          <w:tcPr>
            <w:tcW w:w="9595" w:type="dxa"/>
            <w:gridSpan w:val="2"/>
          </w:tcPr>
          <w:p w:rsidR="008355DB" w:rsidRPr="008355DB" w:rsidRDefault="008355DB" w:rsidP="008355DB">
            <w:pPr>
              <w:widowControl w:val="0"/>
              <w:autoSpaceDE w:val="0"/>
              <w:autoSpaceDN w:val="0"/>
              <w:ind w:firstLine="567"/>
              <w:jc w:val="center"/>
              <w:rPr>
                <w:rFonts w:eastAsiaTheme="minorHAnsi"/>
                <w:b/>
                <w:sz w:val="20"/>
                <w:szCs w:val="20"/>
                <w:lang w:val="en-US" w:eastAsia="en-US"/>
              </w:rPr>
            </w:pPr>
            <w:r w:rsidRPr="008355DB">
              <w:rPr>
                <w:rFonts w:eastAsiaTheme="minorHAnsi"/>
                <w:b/>
                <w:bCs/>
                <w:sz w:val="20"/>
                <w:szCs w:val="20"/>
                <w:lang w:val="uk-UA" w:eastAsia="en-US"/>
              </w:rPr>
              <w:t>Part-time form of study</w:t>
            </w:r>
          </w:p>
        </w:tc>
      </w:tr>
      <w:tr w:rsidR="008355DB" w:rsidRPr="008355DB" w:rsidTr="00537310">
        <w:trPr>
          <w:trHeight w:val="403"/>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sz w:val="20"/>
                <w:szCs w:val="20"/>
                <w:lang w:val="uk-UA" w:eastAsia="en-US"/>
              </w:rPr>
              <w:t>Lectures:</w:t>
            </w:r>
          </w:p>
        </w:tc>
        <w:tc>
          <w:tcPr>
            <w:tcW w:w="4660" w:type="dxa"/>
          </w:tcPr>
          <w:p w:rsidR="008355DB" w:rsidRPr="008355DB" w:rsidRDefault="008355DB" w:rsidP="008355DB">
            <w:pPr>
              <w:widowControl w:val="0"/>
              <w:autoSpaceDE w:val="0"/>
              <w:autoSpaceDN w:val="0"/>
              <w:ind w:firstLine="567"/>
              <w:jc w:val="center"/>
              <w:rPr>
                <w:rFonts w:eastAsiaTheme="minorHAnsi"/>
                <w:b/>
                <w:sz w:val="20"/>
                <w:szCs w:val="20"/>
                <w:lang w:val="en-US" w:eastAsia="en-US"/>
              </w:rPr>
            </w:pPr>
            <w:r w:rsidRPr="008355DB">
              <w:rPr>
                <w:rFonts w:eastAsiaTheme="minorHAnsi"/>
                <w:b/>
                <w:sz w:val="20"/>
                <w:szCs w:val="20"/>
                <w:lang w:val="en-US" w:eastAsia="en-US"/>
              </w:rPr>
              <w:t>4</w:t>
            </w:r>
          </w:p>
        </w:tc>
      </w:tr>
      <w:tr w:rsidR="008355DB" w:rsidRPr="008355DB" w:rsidTr="00537310">
        <w:trPr>
          <w:trHeight w:val="403"/>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sz w:val="20"/>
                <w:szCs w:val="20"/>
                <w:lang w:val="uk-UA" w:eastAsia="en-US"/>
              </w:rPr>
              <w:t>Practical Classes:</w:t>
            </w:r>
          </w:p>
        </w:tc>
        <w:tc>
          <w:tcPr>
            <w:tcW w:w="4660" w:type="dxa"/>
          </w:tcPr>
          <w:p w:rsidR="008355DB" w:rsidRPr="008355DB" w:rsidRDefault="008355DB" w:rsidP="008355DB">
            <w:pPr>
              <w:widowControl w:val="0"/>
              <w:autoSpaceDE w:val="0"/>
              <w:autoSpaceDN w:val="0"/>
              <w:ind w:firstLine="567"/>
              <w:jc w:val="center"/>
              <w:rPr>
                <w:rFonts w:eastAsiaTheme="minorHAnsi"/>
                <w:b/>
                <w:sz w:val="20"/>
                <w:szCs w:val="20"/>
                <w:lang w:val="en-US" w:eastAsia="en-US"/>
              </w:rPr>
            </w:pPr>
            <w:r w:rsidRPr="008355DB">
              <w:rPr>
                <w:rFonts w:eastAsiaTheme="minorHAnsi"/>
                <w:b/>
                <w:sz w:val="20"/>
                <w:szCs w:val="20"/>
                <w:lang w:val="en-US" w:eastAsia="en-US"/>
              </w:rPr>
              <w:t>12</w:t>
            </w:r>
          </w:p>
        </w:tc>
      </w:tr>
      <w:tr w:rsidR="008355DB" w:rsidRPr="008355DB" w:rsidTr="00537310">
        <w:trPr>
          <w:trHeight w:val="403"/>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sz w:val="20"/>
                <w:szCs w:val="20"/>
                <w:lang w:val="uk-UA" w:eastAsia="en-US"/>
              </w:rPr>
              <w:t>Independent Study (IS):</w:t>
            </w:r>
          </w:p>
        </w:tc>
        <w:tc>
          <w:tcPr>
            <w:tcW w:w="4660" w:type="dxa"/>
          </w:tcPr>
          <w:p w:rsidR="008355DB" w:rsidRPr="008355DB" w:rsidRDefault="008355DB" w:rsidP="008355DB">
            <w:pPr>
              <w:widowControl w:val="0"/>
              <w:autoSpaceDE w:val="0"/>
              <w:autoSpaceDN w:val="0"/>
              <w:ind w:firstLine="567"/>
              <w:jc w:val="center"/>
              <w:rPr>
                <w:rFonts w:eastAsiaTheme="minorHAnsi"/>
                <w:b/>
                <w:sz w:val="20"/>
                <w:szCs w:val="20"/>
                <w:lang w:val="en-US" w:eastAsia="en-US"/>
              </w:rPr>
            </w:pPr>
            <w:r w:rsidRPr="008355DB">
              <w:rPr>
                <w:rFonts w:eastAsiaTheme="minorHAnsi"/>
                <w:b/>
                <w:sz w:val="20"/>
                <w:szCs w:val="20"/>
                <w:lang w:val="en-US" w:eastAsia="en-US"/>
              </w:rPr>
              <w:t>74</w:t>
            </w:r>
          </w:p>
        </w:tc>
      </w:tr>
      <w:tr w:rsidR="008355DB" w:rsidRPr="008355DB" w:rsidTr="00537310">
        <w:trPr>
          <w:trHeight w:val="403"/>
        </w:trPr>
        <w:tc>
          <w:tcPr>
            <w:tcW w:w="4935" w:type="dxa"/>
          </w:tcPr>
          <w:p w:rsidR="008355DB" w:rsidRPr="008355DB" w:rsidRDefault="008355DB" w:rsidP="008355DB">
            <w:pPr>
              <w:ind w:firstLine="567"/>
              <w:jc w:val="center"/>
              <w:rPr>
                <w:rFonts w:eastAsiaTheme="minorHAnsi"/>
                <w:sz w:val="20"/>
                <w:szCs w:val="20"/>
                <w:lang w:val="uk-UA" w:eastAsia="en-US"/>
              </w:rPr>
            </w:pPr>
            <w:r w:rsidRPr="008355DB">
              <w:rPr>
                <w:rFonts w:eastAsiaTheme="minorHAnsi"/>
                <w:b/>
                <w:bCs/>
                <w:sz w:val="20"/>
                <w:szCs w:val="20"/>
                <w:lang w:val="uk-UA" w:eastAsia="en-US"/>
              </w:rPr>
              <w:t>Total</w:t>
            </w:r>
          </w:p>
        </w:tc>
        <w:tc>
          <w:tcPr>
            <w:tcW w:w="4660" w:type="dxa"/>
          </w:tcPr>
          <w:p w:rsidR="008355DB" w:rsidRPr="008355DB" w:rsidRDefault="008355DB" w:rsidP="008355DB">
            <w:pPr>
              <w:widowControl w:val="0"/>
              <w:autoSpaceDE w:val="0"/>
              <w:autoSpaceDN w:val="0"/>
              <w:ind w:firstLine="567"/>
              <w:jc w:val="center"/>
              <w:rPr>
                <w:rFonts w:eastAsiaTheme="minorHAnsi"/>
                <w:b/>
                <w:sz w:val="20"/>
                <w:szCs w:val="20"/>
                <w:lang w:val="en-US" w:eastAsia="en-US"/>
              </w:rPr>
            </w:pPr>
            <w:r w:rsidRPr="008355DB">
              <w:rPr>
                <w:rFonts w:eastAsiaTheme="minorHAnsi"/>
                <w:b/>
                <w:sz w:val="20"/>
                <w:szCs w:val="20"/>
                <w:lang w:val="en-US" w:eastAsia="en-US"/>
              </w:rPr>
              <w:t>90</w:t>
            </w:r>
          </w:p>
        </w:tc>
      </w:tr>
    </w:tbl>
    <w:p w:rsidR="008355DB" w:rsidRDefault="008355DB">
      <w:pPr>
        <w:widowControl w:val="0"/>
        <w:tabs>
          <w:tab w:val="left" w:pos="851"/>
        </w:tabs>
        <w:autoSpaceDE w:val="0"/>
        <w:autoSpaceDN w:val="0"/>
        <w:ind w:firstLine="567"/>
        <w:jc w:val="both"/>
        <w:rPr>
          <w:b/>
          <w:caps/>
        </w:rPr>
      </w:pPr>
    </w:p>
    <w:p w:rsidR="008355DB" w:rsidRDefault="008355DB">
      <w:pPr>
        <w:widowControl w:val="0"/>
        <w:tabs>
          <w:tab w:val="left" w:pos="851"/>
        </w:tabs>
        <w:autoSpaceDE w:val="0"/>
        <w:autoSpaceDN w:val="0"/>
        <w:ind w:firstLine="567"/>
        <w:jc w:val="both"/>
        <w:rPr>
          <w:b/>
          <w:caps/>
        </w:rPr>
      </w:pPr>
    </w:p>
    <w:p w:rsidR="007C567D" w:rsidRDefault="007C567D">
      <w:pPr>
        <w:ind w:firstLine="567"/>
        <w:rPr>
          <w:b/>
          <w:bCs/>
        </w:rPr>
      </w:pPr>
    </w:p>
    <w:p w:rsidR="007C567D" w:rsidRDefault="00B63B9E">
      <w:pPr>
        <w:ind w:firstLine="567"/>
        <w:rPr>
          <w:b/>
          <w:bCs/>
        </w:rPr>
      </w:pPr>
      <w:r>
        <w:rPr>
          <w:b/>
          <w:bCs/>
        </w:rPr>
        <w:t>4. THEMATIC PLAN</w:t>
      </w:r>
    </w:p>
    <w:p w:rsidR="008355DB" w:rsidRDefault="008355DB">
      <w:pPr>
        <w:ind w:firstLine="567"/>
        <w:rPr>
          <w:b/>
          <w:lang w:val="uk-UA"/>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7537"/>
      </w:tblGrid>
      <w:tr w:rsidR="008355DB" w:rsidRPr="00FC10F2" w:rsidTr="00FC10F2">
        <w:trPr>
          <w:jc w:val="center"/>
        </w:trPr>
        <w:tc>
          <w:tcPr>
            <w:tcW w:w="822" w:type="dxa"/>
          </w:tcPr>
          <w:p w:rsidR="008355DB" w:rsidRPr="00FC10F2" w:rsidRDefault="008355DB" w:rsidP="00537310">
            <w:pPr>
              <w:jc w:val="both"/>
              <w:rPr>
                <w:rFonts w:eastAsia="MS Mincho" w:cs="Courier New"/>
                <w:b/>
                <w:sz w:val="20"/>
                <w:szCs w:val="20"/>
              </w:rPr>
            </w:pPr>
            <w:r w:rsidRPr="00FC10F2">
              <w:rPr>
                <w:rFonts w:eastAsia="MS Mincho" w:cs="Courier New"/>
                <w:b/>
                <w:sz w:val="20"/>
                <w:szCs w:val="20"/>
              </w:rPr>
              <w:t>№</w:t>
            </w:r>
          </w:p>
        </w:tc>
        <w:tc>
          <w:tcPr>
            <w:tcW w:w="7537" w:type="dxa"/>
          </w:tcPr>
          <w:p w:rsidR="008355DB" w:rsidRPr="00FC10F2" w:rsidRDefault="00FC10F2" w:rsidP="00537310">
            <w:pPr>
              <w:jc w:val="center"/>
              <w:rPr>
                <w:rFonts w:eastAsia="MS Mincho" w:cs="Courier New"/>
                <w:b/>
                <w:sz w:val="20"/>
                <w:szCs w:val="20"/>
              </w:rPr>
            </w:pPr>
            <w:r w:rsidRPr="00FC10F2">
              <w:rPr>
                <w:rFonts w:eastAsia="MS Mincho" w:cs="Courier New"/>
                <w:b/>
                <w:sz w:val="20"/>
                <w:szCs w:val="20"/>
                <w:lang w:val="en-US"/>
              </w:rPr>
              <w:t>Topic Titles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1</w:t>
            </w:r>
          </w:p>
        </w:tc>
        <w:tc>
          <w:tcPr>
            <w:tcW w:w="7537" w:type="dxa"/>
          </w:tcPr>
          <w:p w:rsidR="008355DB" w:rsidRPr="00FC10F2" w:rsidRDefault="008355DB" w:rsidP="00537310">
            <w:pPr>
              <w:rPr>
                <w:sz w:val="20"/>
                <w:szCs w:val="20"/>
              </w:rPr>
            </w:pPr>
            <w:r w:rsidRPr="00FC10F2">
              <w:rPr>
                <w:sz w:val="20"/>
                <w:szCs w:val="20"/>
                <w:lang w:val="en-US"/>
              </w:rPr>
              <w:t>E</w:t>
            </w:r>
            <w:r w:rsidRPr="00FC10F2">
              <w:rPr>
                <w:sz w:val="20"/>
                <w:szCs w:val="20"/>
              </w:rPr>
              <w:t>xpress - diagnostics of the financial condition of pharmacies.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2</w:t>
            </w:r>
          </w:p>
        </w:tc>
        <w:tc>
          <w:tcPr>
            <w:tcW w:w="7537" w:type="dxa"/>
          </w:tcPr>
          <w:p w:rsidR="008355DB" w:rsidRPr="00FC10F2" w:rsidRDefault="008355DB" w:rsidP="00537310">
            <w:pPr>
              <w:rPr>
                <w:sz w:val="20"/>
                <w:szCs w:val="20"/>
              </w:rPr>
            </w:pPr>
            <w:r w:rsidRPr="00FC10F2">
              <w:rPr>
                <w:sz w:val="20"/>
                <w:szCs w:val="20"/>
              </w:rPr>
              <w:t>Financial results of the enterprise. Analysis of financial results and profitability.</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3</w:t>
            </w:r>
          </w:p>
        </w:tc>
        <w:tc>
          <w:tcPr>
            <w:tcW w:w="7537" w:type="dxa"/>
          </w:tcPr>
          <w:p w:rsidR="008355DB" w:rsidRPr="00FC10F2" w:rsidRDefault="008355DB" w:rsidP="00537310">
            <w:pPr>
              <w:rPr>
                <w:sz w:val="20"/>
                <w:szCs w:val="20"/>
              </w:rPr>
            </w:pPr>
            <w:r w:rsidRPr="00FC10F2">
              <w:rPr>
                <w:sz w:val="20"/>
                <w:szCs w:val="20"/>
              </w:rPr>
              <w:t>Analysis of income and expenses of a pharmacy enterprise.</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4</w:t>
            </w:r>
          </w:p>
        </w:tc>
        <w:tc>
          <w:tcPr>
            <w:tcW w:w="7537" w:type="dxa"/>
          </w:tcPr>
          <w:p w:rsidR="008355DB" w:rsidRPr="00FC10F2" w:rsidRDefault="008355DB" w:rsidP="00537310">
            <w:pPr>
              <w:rPr>
                <w:sz w:val="20"/>
                <w:szCs w:val="20"/>
              </w:rPr>
            </w:pPr>
            <w:r w:rsidRPr="00FC10F2">
              <w:rPr>
                <w:sz w:val="20"/>
                <w:szCs w:val="20"/>
              </w:rPr>
              <w:t>Analysis of cash receipts and withdrawals of the pharmacy enterprise.</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5</w:t>
            </w:r>
          </w:p>
        </w:tc>
        <w:tc>
          <w:tcPr>
            <w:tcW w:w="7537" w:type="dxa"/>
          </w:tcPr>
          <w:p w:rsidR="008355DB" w:rsidRPr="00FC10F2" w:rsidRDefault="008355DB" w:rsidP="00537310">
            <w:pPr>
              <w:rPr>
                <w:sz w:val="20"/>
                <w:szCs w:val="20"/>
              </w:rPr>
            </w:pPr>
            <w:r w:rsidRPr="00FC10F2">
              <w:rPr>
                <w:sz w:val="20"/>
                <w:szCs w:val="20"/>
              </w:rPr>
              <w:t>Analysis of financial statements of pharmacies.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6</w:t>
            </w:r>
          </w:p>
        </w:tc>
        <w:tc>
          <w:tcPr>
            <w:tcW w:w="7537" w:type="dxa"/>
          </w:tcPr>
          <w:p w:rsidR="008355DB" w:rsidRPr="00FC10F2" w:rsidRDefault="008355DB" w:rsidP="00537310">
            <w:pPr>
              <w:rPr>
                <w:sz w:val="20"/>
                <w:szCs w:val="20"/>
              </w:rPr>
            </w:pPr>
            <w:r w:rsidRPr="00FC10F2">
              <w:rPr>
                <w:sz w:val="20"/>
                <w:szCs w:val="20"/>
              </w:rPr>
              <w:t>Comprehensive analysis of the financial condition of pharmacies. Diagnostics of liquidity and solvency of the pharmacy.</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7</w:t>
            </w:r>
          </w:p>
        </w:tc>
        <w:tc>
          <w:tcPr>
            <w:tcW w:w="7537" w:type="dxa"/>
          </w:tcPr>
          <w:p w:rsidR="008355DB" w:rsidRPr="00FC10F2" w:rsidRDefault="008355DB" w:rsidP="00537310">
            <w:pPr>
              <w:rPr>
                <w:sz w:val="20"/>
                <w:szCs w:val="20"/>
              </w:rPr>
            </w:pPr>
            <w:r w:rsidRPr="00FC10F2">
              <w:rPr>
                <w:sz w:val="20"/>
                <w:szCs w:val="20"/>
              </w:rPr>
              <w:t>General assessment of the financial condition of pharmacy enterprises.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8</w:t>
            </w:r>
          </w:p>
        </w:tc>
        <w:tc>
          <w:tcPr>
            <w:tcW w:w="7537" w:type="dxa"/>
          </w:tcPr>
          <w:p w:rsidR="008355DB" w:rsidRPr="00FC10F2" w:rsidRDefault="008355DB" w:rsidP="00537310">
            <w:pPr>
              <w:rPr>
                <w:sz w:val="20"/>
                <w:szCs w:val="20"/>
              </w:rPr>
            </w:pPr>
            <w:r w:rsidRPr="00FC10F2">
              <w:rPr>
                <w:sz w:val="20"/>
                <w:szCs w:val="20"/>
              </w:rPr>
              <w:t>Analysis of solvency and creditworthiness of pharmacies.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9</w:t>
            </w:r>
          </w:p>
        </w:tc>
        <w:tc>
          <w:tcPr>
            <w:tcW w:w="7537" w:type="dxa"/>
          </w:tcPr>
          <w:p w:rsidR="008355DB" w:rsidRPr="00FC10F2" w:rsidRDefault="008355DB" w:rsidP="00537310">
            <w:pPr>
              <w:rPr>
                <w:sz w:val="20"/>
                <w:szCs w:val="20"/>
              </w:rPr>
            </w:pPr>
            <w:r w:rsidRPr="00FC10F2">
              <w:rPr>
                <w:sz w:val="20"/>
                <w:szCs w:val="20"/>
              </w:rPr>
              <w:t>Assessment of business activity of pharmacy enterprises.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10</w:t>
            </w:r>
          </w:p>
        </w:tc>
        <w:tc>
          <w:tcPr>
            <w:tcW w:w="7537" w:type="dxa"/>
          </w:tcPr>
          <w:p w:rsidR="008355DB" w:rsidRPr="00FC10F2" w:rsidRDefault="008355DB" w:rsidP="00537310">
            <w:pPr>
              <w:rPr>
                <w:sz w:val="20"/>
                <w:szCs w:val="20"/>
              </w:rPr>
            </w:pPr>
            <w:r w:rsidRPr="00FC10F2">
              <w:rPr>
                <w:sz w:val="20"/>
                <w:szCs w:val="20"/>
              </w:rPr>
              <w:t>Competitiveness of the economic potential of pharmacies.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11</w:t>
            </w:r>
          </w:p>
        </w:tc>
        <w:tc>
          <w:tcPr>
            <w:tcW w:w="7537" w:type="dxa"/>
          </w:tcPr>
          <w:p w:rsidR="008355DB" w:rsidRPr="00FC10F2" w:rsidRDefault="008355DB" w:rsidP="00537310">
            <w:pPr>
              <w:rPr>
                <w:sz w:val="20"/>
                <w:szCs w:val="20"/>
              </w:rPr>
            </w:pPr>
            <w:r w:rsidRPr="00FC10F2">
              <w:rPr>
                <w:sz w:val="20"/>
                <w:szCs w:val="20"/>
              </w:rPr>
              <w:t>Assessment of the stock of financial stability of pharmacies.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12</w:t>
            </w:r>
          </w:p>
        </w:tc>
        <w:tc>
          <w:tcPr>
            <w:tcW w:w="7537" w:type="dxa"/>
          </w:tcPr>
          <w:p w:rsidR="008355DB" w:rsidRPr="00FC10F2" w:rsidRDefault="008355DB" w:rsidP="00537310">
            <w:pPr>
              <w:rPr>
                <w:sz w:val="20"/>
                <w:szCs w:val="20"/>
              </w:rPr>
            </w:pPr>
            <w:r w:rsidRPr="00FC10F2">
              <w:rPr>
                <w:sz w:val="20"/>
                <w:szCs w:val="20"/>
              </w:rPr>
              <w:t>Analysis of the financial stability of the pharmacy enterprise.</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13</w:t>
            </w:r>
          </w:p>
        </w:tc>
        <w:tc>
          <w:tcPr>
            <w:tcW w:w="7537" w:type="dxa"/>
          </w:tcPr>
          <w:p w:rsidR="008355DB" w:rsidRPr="00FC10F2" w:rsidRDefault="008355DB" w:rsidP="00537310">
            <w:pPr>
              <w:rPr>
                <w:sz w:val="20"/>
                <w:szCs w:val="20"/>
              </w:rPr>
            </w:pPr>
            <w:r w:rsidRPr="00FC10F2">
              <w:rPr>
                <w:sz w:val="20"/>
                <w:szCs w:val="20"/>
              </w:rPr>
              <w:t>Analysis of the technical potential of pharmacies.</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14</w:t>
            </w:r>
          </w:p>
        </w:tc>
        <w:tc>
          <w:tcPr>
            <w:tcW w:w="7537" w:type="dxa"/>
          </w:tcPr>
          <w:p w:rsidR="008355DB" w:rsidRPr="00FC10F2" w:rsidRDefault="008355DB" w:rsidP="00537310">
            <w:pPr>
              <w:rPr>
                <w:sz w:val="20"/>
                <w:szCs w:val="20"/>
              </w:rPr>
            </w:pPr>
            <w:r w:rsidRPr="00FC10F2">
              <w:rPr>
                <w:sz w:val="20"/>
                <w:szCs w:val="20"/>
              </w:rPr>
              <w:t>Analysis of provision of labor resources. Analysis of the use of working time.</w:t>
            </w:r>
          </w:p>
        </w:tc>
      </w:tr>
      <w:tr w:rsidR="008355DB" w:rsidRPr="00FC10F2" w:rsidTr="00FC10F2">
        <w:trPr>
          <w:jc w:val="center"/>
        </w:trPr>
        <w:tc>
          <w:tcPr>
            <w:tcW w:w="822" w:type="dxa"/>
          </w:tcPr>
          <w:p w:rsidR="008355DB" w:rsidRPr="00FC10F2" w:rsidRDefault="008355DB" w:rsidP="00537310">
            <w:pPr>
              <w:jc w:val="both"/>
              <w:rPr>
                <w:rFonts w:eastAsia="MS Mincho" w:cs="Courier New"/>
                <w:sz w:val="20"/>
                <w:szCs w:val="20"/>
              </w:rPr>
            </w:pPr>
            <w:r w:rsidRPr="00FC10F2">
              <w:rPr>
                <w:rFonts w:eastAsia="MS Mincho" w:cs="Courier New"/>
                <w:sz w:val="20"/>
                <w:szCs w:val="20"/>
              </w:rPr>
              <w:t>15</w:t>
            </w:r>
          </w:p>
        </w:tc>
        <w:tc>
          <w:tcPr>
            <w:tcW w:w="7537" w:type="dxa"/>
          </w:tcPr>
          <w:p w:rsidR="008355DB" w:rsidRPr="00FC10F2" w:rsidRDefault="008355DB" w:rsidP="00537310">
            <w:pPr>
              <w:rPr>
                <w:sz w:val="20"/>
                <w:szCs w:val="20"/>
                <w:lang w:val="en-US"/>
              </w:rPr>
            </w:pPr>
            <w:r w:rsidRPr="00FC10F2">
              <w:rPr>
                <w:sz w:val="20"/>
                <w:szCs w:val="20"/>
              </w:rPr>
              <w:t>Concluding session of content module.</w:t>
            </w:r>
            <w:r w:rsidRPr="00FC10F2">
              <w:rPr>
                <w:sz w:val="20"/>
                <w:szCs w:val="20"/>
                <w:lang w:val="en-US"/>
              </w:rPr>
              <w:t xml:space="preserve"> Test.</w:t>
            </w:r>
          </w:p>
        </w:tc>
      </w:tr>
      <w:tr w:rsidR="008355DB" w:rsidRPr="00FC10F2" w:rsidTr="00FC10F2">
        <w:trPr>
          <w:jc w:val="center"/>
        </w:trPr>
        <w:tc>
          <w:tcPr>
            <w:tcW w:w="8359" w:type="dxa"/>
            <w:gridSpan w:val="2"/>
          </w:tcPr>
          <w:p w:rsidR="008355DB" w:rsidRPr="00FC10F2" w:rsidRDefault="008355DB" w:rsidP="00537310">
            <w:pPr>
              <w:rPr>
                <w:sz w:val="20"/>
                <w:szCs w:val="20"/>
                <w:lang w:val="en-US"/>
              </w:rPr>
            </w:pPr>
            <w:r w:rsidRPr="00FC10F2">
              <w:rPr>
                <w:rFonts w:eastAsia="MS Mincho" w:cs="Courier New"/>
                <w:sz w:val="20"/>
                <w:szCs w:val="20"/>
                <w:lang w:val="en-US"/>
              </w:rPr>
              <w:t>Total</w:t>
            </w:r>
          </w:p>
        </w:tc>
      </w:tr>
    </w:tbl>
    <w:p w:rsidR="008355DB" w:rsidRDefault="008355DB">
      <w:pPr>
        <w:ind w:firstLine="567"/>
        <w:rPr>
          <w:b/>
          <w:lang w:val="uk-UA"/>
        </w:rPr>
      </w:pPr>
    </w:p>
    <w:p w:rsidR="007C567D" w:rsidRDefault="00B63B9E">
      <w:pPr>
        <w:pStyle w:val="af2"/>
        <w:ind w:left="0" w:firstLine="567"/>
        <w:rPr>
          <w:b/>
          <w:bCs/>
        </w:rPr>
      </w:pPr>
      <w:r>
        <w:rPr>
          <w:b/>
          <w:bCs/>
        </w:rPr>
        <w:t>5. FORMS AND METHODS OF ASSESSMENT OF LEARNING OUTCOMES</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549"/>
        <w:gridCol w:w="8135"/>
      </w:tblGrid>
      <w:tr w:rsidR="007C567D">
        <w:trPr>
          <w:jc w:val="center"/>
        </w:trPr>
        <w:tc>
          <w:tcPr>
            <w:tcW w:w="1541" w:type="dxa"/>
          </w:tcPr>
          <w:p w:rsidR="007C567D" w:rsidRDefault="00B63B9E">
            <w:pPr>
              <w:widowControl w:val="0"/>
              <w:autoSpaceDE w:val="0"/>
              <w:autoSpaceDN w:val="0"/>
            </w:pPr>
            <w:r>
              <w:rPr>
                <w:rStyle w:val="ae"/>
                <w:lang w:val="en-US"/>
              </w:rPr>
              <w:t>Ongoing Assessment during Practical Classes</w:t>
            </w:r>
          </w:p>
        </w:tc>
        <w:tc>
          <w:tcPr>
            <w:tcW w:w="7804" w:type="dxa"/>
          </w:tcPr>
          <w:p w:rsidR="007C567D" w:rsidRDefault="00B63B9E">
            <w:r>
              <w:t>Methods: oral and/or written assessment and testing, computer-based assessment and testing, and completion of situational tasks.</w:t>
            </w:r>
          </w:p>
        </w:tc>
      </w:tr>
      <w:tr w:rsidR="007C567D">
        <w:trPr>
          <w:jc w:val="center"/>
        </w:trPr>
        <w:tc>
          <w:tcPr>
            <w:tcW w:w="1541" w:type="dxa"/>
          </w:tcPr>
          <w:p w:rsidR="007C567D" w:rsidRDefault="00B63B9E">
            <w:pPr>
              <w:widowControl w:val="0"/>
              <w:autoSpaceDE w:val="0"/>
              <w:autoSpaceDN w:val="0"/>
            </w:pPr>
            <w:r>
              <w:rPr>
                <w:rStyle w:val="ae"/>
                <w:rFonts w:eastAsia="SimSun"/>
                <w:lang w:val="en-US"/>
              </w:rPr>
              <w:t>Final examination of the discipline – credit</w:t>
            </w:r>
          </w:p>
        </w:tc>
        <w:tc>
          <w:tcPr>
            <w:tcW w:w="7804" w:type="dxa"/>
          </w:tcPr>
          <w:p w:rsidR="007C567D" w:rsidRDefault="00B63B9E">
            <w:r>
              <w:t>It is conducted during the final practical class and is determined based on current academic performance, in accordance with the "Regulations on the Organization of the Educational Process at VNMU named after M.I. Pirogov"</w:t>
            </w:r>
          </w:p>
          <w:p w:rsidR="007C567D" w:rsidRDefault="00B63B9E">
            <w:r>
              <w:t>https://vnmu.edu.ua/General Information/Key Documents orhttps://www.vnmu.edu.ua/downloads/other/polog_organiz_ocv_proc(2026).pdf)</w:t>
            </w:r>
          </w:p>
        </w:tc>
      </w:tr>
      <w:tr w:rsidR="007C567D">
        <w:trPr>
          <w:jc w:val="center"/>
        </w:trPr>
        <w:tc>
          <w:tcPr>
            <w:tcW w:w="1541" w:type="dxa"/>
          </w:tcPr>
          <w:p w:rsidR="007C567D" w:rsidRDefault="00B63B9E">
            <w:r>
              <w:rPr>
                <w:rStyle w:val="ae"/>
              </w:rPr>
              <w:t xml:space="preserve">Assessment Tools for </w:t>
            </w:r>
            <w:r>
              <w:rPr>
                <w:rStyle w:val="ae"/>
              </w:rPr>
              <w:lastRenderedPageBreak/>
              <w:t>Learning Achievement</w:t>
            </w:r>
          </w:p>
        </w:tc>
        <w:tc>
          <w:tcPr>
            <w:tcW w:w="7804" w:type="dxa"/>
          </w:tcPr>
          <w:p w:rsidR="007C567D" w:rsidRDefault="00B63B9E">
            <w:pPr>
              <w:pStyle w:val="ab"/>
              <w:spacing w:before="0" w:beforeAutospacing="0" w:after="0" w:afterAutospacing="0"/>
              <w:jc w:val="both"/>
              <w:rPr>
                <w:lang w:val="en-US"/>
              </w:rPr>
            </w:pPr>
            <w:r>
              <w:rPr>
                <w:lang w:val="en-US"/>
              </w:rPr>
              <w:lastRenderedPageBreak/>
              <w:t>Theoretical questions, tests, clinically oriented situational tasks, practical assignments, demonstration of practical skills.</w:t>
            </w:r>
          </w:p>
          <w:p w:rsidR="007C567D" w:rsidRDefault="007C567D">
            <w:pPr>
              <w:widowControl w:val="0"/>
              <w:autoSpaceDE w:val="0"/>
              <w:autoSpaceDN w:val="0"/>
              <w:jc w:val="both"/>
            </w:pPr>
          </w:p>
        </w:tc>
      </w:tr>
    </w:tbl>
    <w:p w:rsidR="007C567D" w:rsidRDefault="007C567D">
      <w:pPr>
        <w:rPr>
          <w:b/>
          <w:bCs/>
          <w:caps/>
        </w:rPr>
      </w:pPr>
    </w:p>
    <w:p w:rsidR="007C567D" w:rsidRDefault="00B63B9E">
      <w:pPr>
        <w:pStyle w:val="af2"/>
        <w:ind w:left="0" w:firstLine="567"/>
        <w:jc w:val="both"/>
        <w:rPr>
          <w:b/>
          <w:bCs/>
          <w:caps/>
        </w:rPr>
      </w:pPr>
      <w:r>
        <w:rPr>
          <w:b/>
          <w:bCs/>
          <w:caps/>
        </w:rPr>
        <w:t>6. ASSESSMENT CRITERIA</w:t>
      </w:r>
    </w:p>
    <w:p w:rsidR="007C567D" w:rsidRDefault="00B63B9E">
      <w:pPr>
        <w:pStyle w:val="ab"/>
        <w:spacing w:before="0" w:beforeAutospacing="0" w:after="0" w:afterAutospacing="0"/>
        <w:jc w:val="both"/>
      </w:pPr>
      <w:bookmarkStart w:id="0" w:name="_Hlk240788786"/>
      <w:r>
        <w:rPr>
          <w:lang w:val="en-US"/>
        </w:rPr>
        <w:t xml:space="preserve">Assessment of students’ knowledge is carried out in accordance with the current </w:t>
      </w:r>
      <w:r>
        <w:rPr>
          <w:rStyle w:val="ae"/>
          <w:b w:val="0"/>
          <w:lang w:val="en-US"/>
        </w:rPr>
        <w:t>Regulations on the Organisation of the Educational Process at National Pirogov Memorial Medical University, Vinnytsia</w:t>
      </w:r>
      <w:r>
        <w:rPr>
          <w:b/>
          <w:lang w:val="en-US"/>
        </w:rPr>
        <w:t>.</w:t>
      </w:r>
      <w:r>
        <w:rPr>
          <w:b/>
          <w:lang w:val="uk-UA"/>
        </w:rPr>
        <w:t xml:space="preserve"> </w:t>
      </w:r>
      <w:r>
        <w:rPr>
          <w:lang w:val="en-US"/>
        </w:rPr>
        <w:t>(</w:t>
      </w:r>
      <w:hyperlink r:id="rId9" w:history="1">
        <w:r>
          <w:rPr>
            <w:color w:val="0000FF"/>
            <w:u w:val="single"/>
            <w:lang w:val="en-US"/>
          </w:rPr>
          <w:t>ht</w:t>
        </w:r>
        <w:r>
          <w:rPr>
            <w:color w:val="0000FF"/>
            <w:u w:val="single"/>
          </w:rPr>
          <w:t>tps://www.vnmu.edu.ua/downloads/other/polog_organiz_ocv_proc(2026).pdf</w:t>
        </w:r>
      </w:hyperlink>
      <w:r>
        <w:t>)</w:t>
      </w:r>
    </w:p>
    <w:p w:rsidR="007C567D" w:rsidRDefault="007C567D">
      <w:pPr>
        <w:widowControl w:val="0"/>
        <w:autoSpaceDE w:val="0"/>
        <w:autoSpaceDN w:val="0"/>
        <w:ind w:firstLine="567"/>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6"/>
        <w:gridCol w:w="7399"/>
      </w:tblGrid>
      <w:tr w:rsidR="007C567D">
        <w:trPr>
          <w:tblCellSpacing w:w="15" w:type="dxa"/>
        </w:trPr>
        <w:tc>
          <w:tcPr>
            <w:tcW w:w="0" w:type="auto"/>
            <w:vAlign w:val="center"/>
          </w:tcPr>
          <w:p w:rsidR="007C567D" w:rsidRDefault="00B63B9E">
            <w:pPr>
              <w:jc w:val="center"/>
              <w:rPr>
                <w:bCs/>
                <w:sz w:val="20"/>
                <w:szCs w:val="20"/>
              </w:rPr>
            </w:pPr>
            <w:r>
              <w:rPr>
                <w:bCs/>
                <w:sz w:val="20"/>
                <w:szCs w:val="20"/>
              </w:rPr>
              <w:t>Type of Assessment</w:t>
            </w:r>
          </w:p>
        </w:tc>
        <w:tc>
          <w:tcPr>
            <w:tcW w:w="0" w:type="auto"/>
            <w:vAlign w:val="center"/>
          </w:tcPr>
          <w:p w:rsidR="007C567D" w:rsidRDefault="00B63B9E">
            <w:pPr>
              <w:jc w:val="center"/>
              <w:rPr>
                <w:bCs/>
                <w:sz w:val="20"/>
                <w:szCs w:val="20"/>
              </w:rPr>
            </w:pPr>
            <w:r>
              <w:rPr>
                <w:bCs/>
                <w:sz w:val="20"/>
                <w:szCs w:val="20"/>
              </w:rPr>
              <w:t>Assessment Criteria / Scale</w:t>
            </w:r>
          </w:p>
        </w:tc>
      </w:tr>
      <w:tr w:rsidR="007C567D">
        <w:trPr>
          <w:tblCellSpacing w:w="15" w:type="dxa"/>
        </w:trPr>
        <w:tc>
          <w:tcPr>
            <w:tcW w:w="0" w:type="auto"/>
            <w:vAlign w:val="center"/>
          </w:tcPr>
          <w:p w:rsidR="007C567D" w:rsidRDefault="00B63B9E">
            <w:pPr>
              <w:rPr>
                <w:sz w:val="20"/>
                <w:szCs w:val="20"/>
              </w:rPr>
            </w:pPr>
            <w:r>
              <w:rPr>
                <w:bCs/>
                <w:sz w:val="20"/>
                <w:szCs w:val="20"/>
              </w:rPr>
              <w:t>Ongoing Assessment</w:t>
            </w:r>
          </w:p>
        </w:tc>
        <w:tc>
          <w:tcPr>
            <w:tcW w:w="0" w:type="auto"/>
            <w:vAlign w:val="center"/>
          </w:tcPr>
          <w:p w:rsidR="007C567D" w:rsidRDefault="00B63B9E">
            <w:pPr>
              <w:rPr>
                <w:sz w:val="20"/>
                <w:szCs w:val="20"/>
                <w:lang w:val="en-US"/>
              </w:rPr>
            </w:pPr>
            <w:r>
              <w:rPr>
                <w:sz w:val="20"/>
                <w:szCs w:val="20"/>
                <w:lang w:val="en-US"/>
              </w:rPr>
              <w:t xml:space="preserve">According to the traditional grading scale: </w:t>
            </w:r>
            <w:r>
              <w:rPr>
                <w:bCs/>
                <w:sz w:val="20"/>
                <w:szCs w:val="20"/>
                <w:lang w:val="en-US"/>
              </w:rPr>
              <w:t>5 – “Excellent”, 4 – “Good”, 3 – “Satisfactory”, 2 – “Unsatisfactory”</w:t>
            </w:r>
          </w:p>
        </w:tc>
      </w:tr>
      <w:tr w:rsidR="007C567D">
        <w:trPr>
          <w:tblCellSpacing w:w="15" w:type="dxa"/>
        </w:trPr>
        <w:tc>
          <w:tcPr>
            <w:tcW w:w="0" w:type="auto"/>
            <w:vAlign w:val="center"/>
          </w:tcPr>
          <w:p w:rsidR="007C567D" w:rsidRDefault="00B63B9E">
            <w:pPr>
              <w:rPr>
                <w:sz w:val="20"/>
                <w:szCs w:val="20"/>
              </w:rPr>
            </w:pPr>
            <w:r>
              <w:rPr>
                <w:bCs/>
                <w:sz w:val="20"/>
                <w:szCs w:val="20"/>
              </w:rPr>
              <w:t>Interim Assessments</w:t>
            </w:r>
          </w:p>
        </w:tc>
        <w:tc>
          <w:tcPr>
            <w:tcW w:w="0" w:type="auto"/>
            <w:vAlign w:val="center"/>
          </w:tcPr>
          <w:p w:rsidR="007C567D" w:rsidRDefault="00B63B9E">
            <w:pPr>
              <w:rPr>
                <w:sz w:val="20"/>
                <w:szCs w:val="20"/>
                <w:lang w:val="en-US"/>
              </w:rPr>
            </w:pPr>
            <w:r>
              <w:rPr>
                <w:sz w:val="20"/>
                <w:szCs w:val="20"/>
                <w:lang w:val="en-US"/>
              </w:rPr>
              <w:t>According to the traditional grading scale</w:t>
            </w:r>
          </w:p>
        </w:tc>
      </w:tr>
      <w:tr w:rsidR="007C567D">
        <w:trPr>
          <w:tblCellSpacing w:w="15" w:type="dxa"/>
        </w:trPr>
        <w:tc>
          <w:tcPr>
            <w:tcW w:w="0" w:type="auto"/>
            <w:vAlign w:val="center"/>
          </w:tcPr>
          <w:p w:rsidR="007C567D" w:rsidRDefault="00B63B9E">
            <w:pPr>
              <w:rPr>
                <w:sz w:val="20"/>
                <w:szCs w:val="20"/>
                <w:lang w:val="en-US"/>
              </w:rPr>
            </w:pPr>
            <w:r>
              <w:rPr>
                <w:bCs/>
                <w:sz w:val="20"/>
                <w:szCs w:val="20"/>
                <w:lang w:val="en-US"/>
              </w:rPr>
              <w:t>Overall Assessment for the Academic Discipline</w:t>
            </w:r>
          </w:p>
        </w:tc>
        <w:tc>
          <w:tcPr>
            <w:tcW w:w="0" w:type="auto"/>
            <w:vAlign w:val="center"/>
          </w:tcPr>
          <w:p w:rsidR="007C567D" w:rsidRDefault="00B63B9E">
            <w:pPr>
              <w:rPr>
                <w:bCs/>
                <w:sz w:val="20"/>
                <w:szCs w:val="20"/>
                <w:lang w:val="en-US"/>
              </w:rPr>
            </w:pPr>
            <w:r>
              <w:rPr>
                <w:bCs/>
                <w:sz w:val="20"/>
                <w:szCs w:val="20"/>
                <w:lang w:val="en-US"/>
              </w:rPr>
              <w:t>Based on a 200-point scale (the arithmetic mean grade for the semester is converted into points), including individual work—from 1 to 12 points</w:t>
            </w:r>
          </w:p>
          <w:p w:rsidR="007C567D" w:rsidRDefault="00B63B9E">
            <w:pPr>
              <w:rPr>
                <w:bCs/>
                <w:sz w:val="20"/>
                <w:szCs w:val="20"/>
                <w:lang w:val="en-US"/>
              </w:rPr>
            </w:pPr>
            <w:r>
              <w:rPr>
                <w:bCs/>
                <w:sz w:val="20"/>
                <w:szCs w:val="20"/>
                <w:lang w:val="en-US"/>
              </w:rPr>
              <w:t>Passed: 122–200 points</w:t>
            </w:r>
          </w:p>
          <w:p w:rsidR="007C567D" w:rsidRDefault="00B63B9E">
            <w:pPr>
              <w:rPr>
                <w:sz w:val="20"/>
                <w:szCs w:val="20"/>
              </w:rPr>
            </w:pPr>
            <w:r>
              <w:rPr>
                <w:bCs/>
                <w:sz w:val="20"/>
                <w:szCs w:val="20"/>
                <w:lang w:val="en-US"/>
              </w:rPr>
              <w:t>Failed: fewer than 122 points</w:t>
            </w:r>
          </w:p>
        </w:tc>
      </w:tr>
    </w:tbl>
    <w:p w:rsidR="007C567D" w:rsidRDefault="007C567D">
      <w:pPr>
        <w:widowControl w:val="0"/>
        <w:autoSpaceDE w:val="0"/>
        <w:autoSpaceDN w:val="0"/>
      </w:pPr>
    </w:p>
    <w:bookmarkEnd w:id="0"/>
    <w:p w:rsidR="007C567D" w:rsidRDefault="007C567D">
      <w:pPr>
        <w:jc w:val="center"/>
        <w:rPr>
          <w:b/>
          <w:bCs/>
        </w:rPr>
      </w:pPr>
    </w:p>
    <w:p w:rsidR="007C567D" w:rsidRDefault="00B63B9E">
      <w:pPr>
        <w:jc w:val="center"/>
        <w:rPr>
          <w:b/>
          <w:bCs/>
        </w:rPr>
      </w:pPr>
      <w:r>
        <w:rPr>
          <w:b/>
          <w:bCs/>
        </w:rPr>
        <w:t>Course grading scale: national and ECTS</w:t>
      </w:r>
    </w:p>
    <w:tbl>
      <w:tblPr>
        <w:tblpPr w:leftFromText="180" w:rightFromText="180" w:vertAnchor="text" w:horzAnchor="page" w:tblpX="1410" w:tblpY="2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4"/>
        <w:gridCol w:w="1108"/>
        <w:gridCol w:w="3026"/>
        <w:gridCol w:w="2938"/>
        <w:gridCol w:w="175"/>
      </w:tblGrid>
      <w:tr w:rsidR="007C567D" w:rsidRPr="005E4D80">
        <w:trPr>
          <w:gridAfter w:val="1"/>
          <w:wAfter w:w="175" w:type="dxa"/>
          <w:trHeight w:val="200"/>
        </w:trPr>
        <w:tc>
          <w:tcPr>
            <w:tcW w:w="2704" w:type="dxa"/>
            <w:vMerge w:val="restart"/>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rPr>
              <w:t>Total points for all types of learning activities</w:t>
            </w:r>
          </w:p>
        </w:tc>
        <w:tc>
          <w:tcPr>
            <w:tcW w:w="1108" w:type="dxa"/>
            <w:vMerge w:val="restart"/>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rPr>
              <w:t>ECTS Grade</w:t>
            </w:r>
          </w:p>
        </w:tc>
        <w:tc>
          <w:tcPr>
            <w:tcW w:w="5964" w:type="dxa"/>
            <w:gridSpan w:val="2"/>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rPr>
              <w:t>Grade on the national scale</w:t>
            </w:r>
          </w:p>
        </w:tc>
      </w:tr>
      <w:tr w:rsidR="007C567D" w:rsidRPr="005E4D80">
        <w:trPr>
          <w:gridAfter w:val="1"/>
          <w:wAfter w:w="175" w:type="dxa"/>
          <w:trHeight w:val="170"/>
        </w:trPr>
        <w:tc>
          <w:tcPr>
            <w:tcW w:w="2704" w:type="dxa"/>
            <w:vMerge/>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sz w:val="20"/>
                <w:szCs w:val="20"/>
              </w:rPr>
            </w:pPr>
          </w:p>
        </w:tc>
        <w:tc>
          <w:tcPr>
            <w:tcW w:w="3026" w:type="dxa"/>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rPr>
              <w:t>for an exam, course project (paper), or practical training</w:t>
            </w:r>
          </w:p>
        </w:tc>
        <w:tc>
          <w:tcPr>
            <w:tcW w:w="2938" w:type="dxa"/>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rPr>
              <w:t>for a pass/fail assessment</w:t>
            </w:r>
          </w:p>
        </w:tc>
      </w:tr>
      <w:tr w:rsidR="007C567D" w:rsidRPr="005E4D80">
        <w:tc>
          <w:tcPr>
            <w:tcW w:w="2704"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180-200</w:t>
            </w:r>
          </w:p>
        </w:tc>
        <w:tc>
          <w:tcPr>
            <w:tcW w:w="1108"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А</w:t>
            </w:r>
          </w:p>
        </w:tc>
        <w:tc>
          <w:tcPr>
            <w:tcW w:w="3026"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sz w:val="20"/>
                <w:szCs w:val="20"/>
              </w:rPr>
            </w:pPr>
            <w:r w:rsidRPr="005E4D80">
              <w:rPr>
                <w:sz w:val="20"/>
                <w:szCs w:val="20"/>
              </w:rPr>
              <w:t>Excellent</w:t>
            </w:r>
          </w:p>
        </w:tc>
        <w:tc>
          <w:tcPr>
            <w:tcW w:w="2938" w:type="dxa"/>
            <w:gridSpan w:val="2"/>
            <w:vMerge w:val="restart"/>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b/>
                <w:sz w:val="20"/>
                <w:szCs w:val="20"/>
              </w:rPr>
            </w:pPr>
            <w:r w:rsidRPr="005E4D80">
              <w:rPr>
                <w:sz w:val="20"/>
                <w:szCs w:val="20"/>
              </w:rPr>
              <w:t>credited</w:t>
            </w:r>
          </w:p>
        </w:tc>
      </w:tr>
      <w:tr w:rsidR="007C567D" w:rsidRPr="005E4D80">
        <w:tc>
          <w:tcPr>
            <w:tcW w:w="2704"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170-179,99</w:t>
            </w:r>
          </w:p>
        </w:tc>
        <w:tc>
          <w:tcPr>
            <w:tcW w:w="1108"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В</w:t>
            </w:r>
          </w:p>
        </w:tc>
        <w:tc>
          <w:tcPr>
            <w:tcW w:w="3026" w:type="dxa"/>
            <w:vMerge w:val="restart"/>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sz w:val="20"/>
                <w:szCs w:val="20"/>
              </w:rPr>
            </w:pPr>
            <w:r w:rsidRPr="005E4D80">
              <w:rPr>
                <w:sz w:val="20"/>
                <w:szCs w:val="20"/>
              </w:rPr>
              <w:t>Good</w:t>
            </w: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b/>
                <w:sz w:val="20"/>
                <w:szCs w:val="20"/>
              </w:rPr>
            </w:pPr>
          </w:p>
        </w:tc>
      </w:tr>
      <w:tr w:rsidR="007C567D" w:rsidRPr="005E4D80">
        <w:tc>
          <w:tcPr>
            <w:tcW w:w="2704"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160-169,99</w:t>
            </w:r>
          </w:p>
        </w:tc>
        <w:tc>
          <w:tcPr>
            <w:tcW w:w="1108"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С</w:t>
            </w:r>
          </w:p>
        </w:tc>
        <w:tc>
          <w:tcPr>
            <w:tcW w:w="0" w:type="auto"/>
            <w:vMerge/>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b/>
                <w:sz w:val="20"/>
                <w:szCs w:val="20"/>
              </w:rPr>
            </w:pPr>
          </w:p>
        </w:tc>
      </w:tr>
      <w:tr w:rsidR="007C567D" w:rsidRPr="005E4D80">
        <w:tc>
          <w:tcPr>
            <w:tcW w:w="2704"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141-159,99</w:t>
            </w:r>
          </w:p>
        </w:tc>
        <w:tc>
          <w:tcPr>
            <w:tcW w:w="1108"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D</w:t>
            </w:r>
          </w:p>
        </w:tc>
        <w:tc>
          <w:tcPr>
            <w:tcW w:w="3026"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sz w:val="20"/>
                <w:szCs w:val="20"/>
              </w:rPr>
            </w:pPr>
            <w:r w:rsidRPr="005E4D80">
              <w:rPr>
                <w:sz w:val="20"/>
                <w:szCs w:val="20"/>
              </w:rPr>
              <w:t>Satisfactory</w:t>
            </w: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b/>
                <w:sz w:val="20"/>
                <w:szCs w:val="20"/>
              </w:rPr>
            </w:pPr>
          </w:p>
        </w:tc>
      </w:tr>
      <w:tr w:rsidR="007C567D" w:rsidRPr="005E4D80">
        <w:trPr>
          <w:trHeight w:val="118"/>
        </w:trPr>
        <w:tc>
          <w:tcPr>
            <w:tcW w:w="2704"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122-140,99</w:t>
            </w:r>
          </w:p>
        </w:tc>
        <w:tc>
          <w:tcPr>
            <w:tcW w:w="1108"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E</w:t>
            </w:r>
          </w:p>
        </w:tc>
        <w:tc>
          <w:tcPr>
            <w:tcW w:w="3026"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sz w:val="20"/>
                <w:szCs w:val="20"/>
              </w:rPr>
              <w:t>Satisfactory</w:t>
            </w:r>
          </w:p>
        </w:tc>
        <w:tc>
          <w:tcPr>
            <w:tcW w:w="0" w:type="auto"/>
            <w:gridSpan w:val="2"/>
            <w:vMerge/>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b/>
                <w:sz w:val="20"/>
                <w:szCs w:val="20"/>
              </w:rPr>
            </w:pPr>
          </w:p>
        </w:tc>
      </w:tr>
      <w:tr w:rsidR="007C567D" w:rsidRPr="005E4D80">
        <w:tc>
          <w:tcPr>
            <w:tcW w:w="2704"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0-121,99</w:t>
            </w:r>
          </w:p>
        </w:tc>
        <w:tc>
          <w:tcPr>
            <w:tcW w:w="1108"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FX</w:t>
            </w:r>
          </w:p>
        </w:tc>
        <w:tc>
          <w:tcPr>
            <w:tcW w:w="3026" w:type="dxa"/>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rPr>
              <w:t>Unsatisfactory, with the option to retake</w:t>
            </w:r>
          </w:p>
        </w:tc>
        <w:tc>
          <w:tcPr>
            <w:tcW w:w="2938" w:type="dxa"/>
            <w:gridSpan w:val="2"/>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rPr>
              <w:t>not passed, with the option to retake</w:t>
            </w:r>
          </w:p>
        </w:tc>
      </w:tr>
      <w:tr w:rsidR="007C567D" w:rsidRPr="005E4D80">
        <w:tc>
          <w:tcPr>
            <w:tcW w:w="2704" w:type="dxa"/>
            <w:tcBorders>
              <w:top w:val="single" w:sz="4" w:space="0" w:color="auto"/>
              <w:left w:val="single" w:sz="4" w:space="0" w:color="auto"/>
              <w:bottom w:val="single" w:sz="4" w:space="0" w:color="auto"/>
              <w:right w:val="single" w:sz="4" w:space="0" w:color="auto"/>
            </w:tcBorders>
            <w:vAlign w:val="center"/>
          </w:tcPr>
          <w:p w:rsidR="007C567D" w:rsidRPr="005E4D80" w:rsidRDefault="007C567D">
            <w:pPr>
              <w:jc w:val="center"/>
              <w:rPr>
                <w:b/>
                <w:sz w:val="20"/>
                <w:szCs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7C567D" w:rsidRPr="005E4D80" w:rsidRDefault="00B63B9E">
            <w:pPr>
              <w:jc w:val="center"/>
              <w:rPr>
                <w:b/>
                <w:sz w:val="20"/>
                <w:szCs w:val="20"/>
              </w:rPr>
            </w:pPr>
            <w:r w:rsidRPr="005E4D80">
              <w:rPr>
                <w:b/>
                <w:sz w:val="20"/>
                <w:szCs w:val="20"/>
              </w:rPr>
              <w:t>F</w:t>
            </w:r>
          </w:p>
        </w:tc>
        <w:tc>
          <w:tcPr>
            <w:tcW w:w="3026" w:type="dxa"/>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sz w:val="20"/>
                <w:szCs w:val="20"/>
              </w:rPr>
            </w:pPr>
            <w:r w:rsidRPr="005E4D80">
              <w:rPr>
                <w:sz w:val="20"/>
                <w:szCs w:val="20"/>
                <w:lang w:val="en-US"/>
              </w:rPr>
              <w:t>Uns</w:t>
            </w:r>
            <w:r w:rsidRPr="005E4D80">
              <w:rPr>
                <w:sz w:val="20"/>
                <w:szCs w:val="20"/>
              </w:rPr>
              <w:t>atisfactory, with a mandatory retake of the course</w:t>
            </w:r>
          </w:p>
        </w:tc>
        <w:tc>
          <w:tcPr>
            <w:tcW w:w="2938" w:type="dxa"/>
            <w:gridSpan w:val="2"/>
            <w:tcBorders>
              <w:top w:val="single" w:sz="4" w:space="0" w:color="auto"/>
              <w:left w:val="single" w:sz="4" w:space="0" w:color="auto"/>
              <w:bottom w:val="single" w:sz="4" w:space="0" w:color="auto"/>
              <w:right w:val="single" w:sz="4" w:space="0" w:color="auto"/>
            </w:tcBorders>
            <w:vAlign w:val="center"/>
          </w:tcPr>
          <w:p w:rsidR="007C567D" w:rsidRPr="005E4D80" w:rsidRDefault="00C8279C">
            <w:pPr>
              <w:jc w:val="center"/>
              <w:rPr>
                <w:b/>
                <w:sz w:val="20"/>
                <w:szCs w:val="20"/>
              </w:rPr>
            </w:pPr>
            <w:r w:rsidRPr="005E4D80">
              <w:rPr>
                <w:sz w:val="20"/>
                <w:szCs w:val="20"/>
              </w:rPr>
              <w:t>not credited, with a mandatory retake of the course</w:t>
            </w:r>
          </w:p>
        </w:tc>
      </w:tr>
    </w:tbl>
    <w:p w:rsidR="007C567D" w:rsidRDefault="007C567D">
      <w:pPr>
        <w:jc w:val="both"/>
        <w:rPr>
          <w:b/>
          <w:bCs/>
        </w:rPr>
      </w:pPr>
    </w:p>
    <w:p w:rsidR="007C567D" w:rsidRDefault="007C567D">
      <w:pPr>
        <w:widowControl w:val="0"/>
        <w:autoSpaceDE w:val="0"/>
        <w:autoSpaceDN w:val="0"/>
        <w:ind w:firstLine="567"/>
        <w:jc w:val="center"/>
        <w:rPr>
          <w:b/>
        </w:rPr>
      </w:pPr>
      <w:bookmarkStart w:id="1" w:name="_Hlk240788866"/>
    </w:p>
    <w:bookmarkEnd w:id="1"/>
    <w:p w:rsidR="007C567D" w:rsidRDefault="00B63B9E">
      <w:pPr>
        <w:pStyle w:val="ab"/>
        <w:spacing w:before="0" w:beforeAutospacing="0" w:after="0" w:afterAutospacing="0"/>
        <w:ind w:firstLine="567"/>
        <w:jc w:val="center"/>
        <w:rPr>
          <w:lang w:val="en-US"/>
        </w:rPr>
      </w:pPr>
      <w:r>
        <w:rPr>
          <w:rStyle w:val="ae"/>
          <w:lang w:val="en-US"/>
        </w:rPr>
        <w:t>Criteria for Assessing Students’ Knowledge</w:t>
      </w:r>
    </w:p>
    <w:p w:rsidR="007C567D" w:rsidRDefault="00B63B9E">
      <w:pPr>
        <w:pStyle w:val="ab"/>
        <w:spacing w:before="0" w:beforeAutospacing="0" w:after="0" w:afterAutospacing="0"/>
        <w:ind w:firstLine="567"/>
        <w:jc w:val="center"/>
        <w:rPr>
          <w:lang w:val="en-US"/>
        </w:rPr>
      </w:pPr>
      <w:r>
        <w:rPr>
          <w:rStyle w:val="ae"/>
          <w:i/>
          <w:iCs/>
          <w:lang w:val="en-US"/>
        </w:rPr>
        <w:t>Assessment of Oral/Written Responses during Ongoing Assessment</w:t>
      </w:r>
    </w:p>
    <w:p w:rsidR="007C567D" w:rsidRDefault="00B63B9E">
      <w:pPr>
        <w:pStyle w:val="ab"/>
        <w:spacing w:before="0" w:beforeAutospacing="0" w:after="0" w:afterAutospacing="0"/>
        <w:ind w:firstLine="567"/>
        <w:jc w:val="both"/>
        <w:rPr>
          <w:lang w:val="en-US"/>
        </w:rPr>
      </w:pPr>
      <w:r>
        <w:rPr>
          <w:rStyle w:val="ae"/>
          <w:lang w:val="en-US"/>
        </w:rPr>
        <w:t>The grade “Excellent”</w:t>
      </w:r>
      <w:r>
        <w:rPr>
          <w:lang w:val="en-US"/>
        </w:rPr>
        <w:t xml:space="preserve"> is awarded when a student demonstrates comprehensive knowledge of the topic, illustrating responses with a variety of relevant examples; provides complete, accurate, and clear answers without prompting or leading questions; presents the material without errors or inaccuracies; confidently solves problems and completes practical tasks of varying levels of complexity; and independently generates innovative ideas.</w:t>
      </w:r>
    </w:p>
    <w:p w:rsidR="007C567D" w:rsidRDefault="00B63B9E">
      <w:pPr>
        <w:ind w:firstLine="567"/>
        <w:jc w:val="both"/>
      </w:pPr>
      <w:r>
        <w:rPr>
          <w:rStyle w:val="ae"/>
        </w:rPr>
        <w:t>The grade “Good”</w:t>
      </w:r>
      <w:r>
        <w:t xml:space="preserve"> is awarded when a student demonstrates good knowledge and understanding of the topic and provides correct, coherent, and well-structured answers, although they may not be fully comprehensive. The student answers additional questions correctly and without significant errors; successfully solves problems and completes practical tasks, experiencing difficulties only with the most complex assignments.</w:t>
      </w:r>
    </w:p>
    <w:p w:rsidR="007C567D" w:rsidRDefault="00B63B9E">
      <w:pPr>
        <w:pStyle w:val="ab"/>
        <w:spacing w:before="0" w:beforeAutospacing="0" w:after="0" w:afterAutospacing="0"/>
        <w:ind w:firstLine="567"/>
        <w:jc w:val="both"/>
        <w:rPr>
          <w:lang w:val="en-US"/>
        </w:rPr>
      </w:pPr>
      <w:r>
        <w:rPr>
          <w:rStyle w:val="ae"/>
          <w:lang w:val="en-US"/>
        </w:rPr>
        <w:t>The grade “Satisfactory”</w:t>
      </w:r>
      <w:r>
        <w:rPr>
          <w:lang w:val="en-US"/>
        </w:rPr>
        <w:t xml:space="preserve"> is awarded when a student demonstrates knowledge of the overall content of the topic and a satisfactory level of understanding. With the help of guiding questions, the student is able to solve modified (simplified) problems; solves problems and completes practical tasks, although experiencing difficulties even with relatively simple assignments; is unable to formulate a coherent and systematic response independently but provides correct answers to direct questions.</w:t>
      </w:r>
    </w:p>
    <w:p w:rsidR="007C567D" w:rsidRDefault="00B63B9E">
      <w:pPr>
        <w:pStyle w:val="ab"/>
        <w:spacing w:before="0" w:beforeAutospacing="0" w:after="0" w:afterAutospacing="0"/>
        <w:ind w:firstLine="567"/>
        <w:jc w:val="both"/>
        <w:rPr>
          <w:lang w:val="en-US"/>
        </w:rPr>
      </w:pPr>
      <w:r>
        <w:rPr>
          <w:rStyle w:val="ae"/>
          <w:lang w:val="en-US"/>
        </w:rPr>
        <w:t>The grade “Unsatisfactory”</w:t>
      </w:r>
      <w:r>
        <w:rPr>
          <w:lang w:val="en-US"/>
        </w:rPr>
        <w:t xml:space="preserve"> is awarded when a student’s knowledge and skills do not meet the requirements for the grade “Satisfactory”.</w:t>
      </w:r>
    </w:p>
    <w:p w:rsidR="007C567D" w:rsidRDefault="00B63B9E">
      <w:pPr>
        <w:ind w:firstLine="567"/>
        <w:jc w:val="both"/>
      </w:pPr>
      <w:r>
        <w:lastRenderedPageBreak/>
        <w:t xml:space="preserve">The assessment criteria for all other types of students’ academic work are based on the requirements of the Regulations on the Organisation of the Educational Process at National Pirogov Memorial Medical University, Vinnytsya, </w:t>
      </w:r>
    </w:p>
    <w:p w:rsidR="007C567D" w:rsidRDefault="00B63B9E">
      <w:pPr>
        <w:ind w:firstLine="567"/>
        <w:jc w:val="both"/>
      </w:pPr>
      <w:r>
        <w:t>(</w:t>
      </w:r>
      <w:hyperlink r:id="rId10" w:history="1">
        <w:r>
          <w:rPr>
            <w:color w:val="0000FF"/>
            <w:u w:val="single"/>
            <w:lang w:val="en-US"/>
          </w:rPr>
          <w:t>ht</w:t>
        </w:r>
        <w:r>
          <w:rPr>
            <w:color w:val="0000FF"/>
            <w:u w:val="single"/>
          </w:rPr>
          <w:t>tps://www.vnmu.edu.ua/downloads/other/polog_organiz_ocv_proc(2026).pdf</w:t>
        </w:r>
      </w:hyperlink>
      <w:r>
        <w:t>)  and are specified in the programme of the academic discipline.</w:t>
      </w:r>
    </w:p>
    <w:p w:rsidR="007C567D" w:rsidRDefault="00B63B9E">
      <w:pPr>
        <w:pStyle w:val="ab"/>
        <w:spacing w:before="0" w:beforeAutospacing="0" w:after="0" w:afterAutospacing="0"/>
        <w:ind w:firstLine="567"/>
        <w:jc w:val="both"/>
        <w:rPr>
          <w:lang w:val="en-US"/>
        </w:rPr>
      </w:pPr>
      <w:r>
        <w:rPr>
          <w:rStyle w:val="ae"/>
          <w:lang w:val="en-US"/>
        </w:rPr>
        <w:t>Assessment of Students’ Independent Study</w:t>
      </w:r>
    </w:p>
    <w:p w:rsidR="007C567D" w:rsidRDefault="00B63B9E">
      <w:pPr>
        <w:pStyle w:val="ab"/>
        <w:spacing w:before="0" w:beforeAutospacing="0" w:after="0" w:afterAutospacing="0"/>
        <w:ind w:firstLine="567"/>
        <w:jc w:val="both"/>
        <w:rPr>
          <w:lang w:val="en-US"/>
        </w:rPr>
      </w:pPr>
      <w:r>
        <w:rPr>
          <w:lang w:val="en-US"/>
        </w:rPr>
        <w:t>Students’ independent study undertaken as part of a topic alongside contact hours is assessed as part of the ongoing assessment of that topic during the relevant practical class.</w:t>
      </w:r>
    </w:p>
    <w:p w:rsidR="007C567D" w:rsidRDefault="00B63B9E">
      <w:pPr>
        <w:pStyle w:val="ab"/>
        <w:spacing w:before="0" w:beforeAutospacing="0" w:after="0" w:afterAutospacing="0"/>
        <w:ind w:firstLine="567"/>
        <w:jc w:val="both"/>
        <w:rPr>
          <w:rStyle w:val="ae"/>
          <w:color w:val="0000FF"/>
          <w:lang w:val="en-US"/>
        </w:rPr>
      </w:pPr>
      <w:r>
        <w:rPr>
          <w:rStyle w:val="ae"/>
          <w:b w:val="0"/>
          <w:lang w:val="en-US"/>
        </w:rPr>
        <w:t>The maximum number of points</w:t>
      </w:r>
      <w:r>
        <w:rPr>
          <w:lang w:val="en-US"/>
        </w:rPr>
        <w:t xml:space="preserve"> a student may receive upon completion of the discipline is </w:t>
      </w:r>
      <w:r>
        <w:rPr>
          <w:rStyle w:val="ae"/>
          <w:b w:val="0"/>
          <w:lang w:val="en-US"/>
        </w:rPr>
        <w:t>200 points</w:t>
      </w:r>
      <w:r>
        <w:rPr>
          <w:lang w:val="en-US"/>
        </w:rPr>
        <w:t xml:space="preserve">. The minimum passing score is </w:t>
      </w:r>
      <w:r>
        <w:rPr>
          <w:rStyle w:val="ae"/>
          <w:b w:val="0"/>
          <w:lang w:val="en-US"/>
        </w:rPr>
        <w:t>122 points</w:t>
      </w:r>
      <w:r>
        <w:rPr>
          <w:lang w:val="en-US"/>
        </w:rPr>
        <w:t>.</w:t>
      </w:r>
    </w:p>
    <w:p w:rsidR="007C567D" w:rsidRDefault="00B63B9E">
      <w:pPr>
        <w:pStyle w:val="ab"/>
        <w:spacing w:before="0" w:beforeAutospacing="0" w:after="0" w:afterAutospacing="0"/>
        <w:ind w:firstLine="567"/>
        <w:rPr>
          <w:b/>
          <w:lang w:val="en-US"/>
        </w:rPr>
      </w:pPr>
      <w:r>
        <w:rPr>
          <w:b/>
          <w:lang w:val="uk-UA"/>
        </w:rPr>
        <w:t xml:space="preserve">7. </w:t>
      </w:r>
      <w:r>
        <w:rPr>
          <w:b/>
          <w:lang w:val="en-US"/>
        </w:rPr>
        <w:t>METHODOLOGICAL SUPPORT</w:t>
      </w:r>
    </w:p>
    <w:p w:rsidR="007C567D" w:rsidRDefault="00B63B9E">
      <w:pPr>
        <w:pStyle w:val="ab"/>
        <w:spacing w:before="0" w:beforeAutospacing="0" w:after="0" w:afterAutospacing="0"/>
        <w:ind w:firstLine="567"/>
        <w:jc w:val="both"/>
      </w:pPr>
      <w:r>
        <w:rPr>
          <w:lang w:val="en-US"/>
        </w:rPr>
        <w:t>Teaching and learning materials (lecture notes or extended lecture outlines), thematic plans for lectures, practical classes and independent study, assignments for ongoing assessment, methodological guidelines, and teaching manuals.</w:t>
      </w:r>
    </w:p>
    <w:p w:rsidR="007C567D" w:rsidRDefault="00B63B9E">
      <w:pPr>
        <w:pStyle w:val="3"/>
        <w:tabs>
          <w:tab w:val="left" w:pos="1134"/>
          <w:tab w:val="left" w:pos="1276"/>
          <w:tab w:val="left" w:pos="1701"/>
        </w:tabs>
        <w:spacing w:before="0"/>
        <w:ind w:firstLine="567"/>
        <w:rPr>
          <w:rFonts w:ascii="Times New Roman" w:eastAsia="Times New Roman" w:hAnsi="Times New Roman" w:cs="Times New Roman"/>
          <w:bCs w:val="0"/>
          <w:color w:val="auto"/>
          <w:lang w:val="uk-UA"/>
        </w:rPr>
      </w:pPr>
      <w:r>
        <w:rPr>
          <w:rFonts w:ascii="Times New Roman" w:eastAsia="Times New Roman" w:hAnsi="Times New Roman" w:cs="Times New Roman"/>
          <w:bCs w:val="0"/>
          <w:color w:val="auto"/>
          <w:lang w:val="uk-UA"/>
        </w:rPr>
        <w:t>8. ACADEMIC DISCIPLINE POLICIES</w:t>
      </w:r>
    </w:p>
    <w:p w:rsidR="007C567D" w:rsidRDefault="00B63B9E">
      <w:pPr>
        <w:pStyle w:val="ab"/>
        <w:spacing w:before="0" w:beforeAutospacing="0" w:after="0" w:afterAutospacing="0"/>
        <w:ind w:firstLine="567"/>
        <w:jc w:val="both"/>
        <w:rPr>
          <w:color w:val="000000"/>
          <w:lang w:val="en-US" w:eastAsia="uk-UA"/>
        </w:rPr>
      </w:pPr>
      <w:r>
        <w:rPr>
          <w:lang w:val="en-US"/>
        </w:rPr>
        <w:t xml:space="preserve">The completion of learning activities and all academic work within the discipline must comply with the requirements of the </w:t>
      </w:r>
      <w:r>
        <w:rPr>
          <w:rStyle w:val="ae"/>
          <w:b w:val="0"/>
          <w:lang w:val="en-US"/>
        </w:rPr>
        <w:t>Regulations on the Organisation of the Educational Process at National Pirogov Memorial Medical University, Vinnytsya</w:t>
      </w:r>
      <w:r>
        <w:rPr>
          <w:b/>
          <w:lang w:val="en-US"/>
        </w:rPr>
        <w:t>;</w:t>
      </w:r>
      <w:r>
        <w:rPr>
          <w:lang w:val="uk-UA"/>
        </w:rPr>
        <w:t xml:space="preserve"> </w:t>
      </w:r>
      <w:r>
        <w:rPr>
          <w:lang w:val="en-US"/>
        </w:rPr>
        <w:t>(</w:t>
      </w:r>
      <w:hyperlink r:id="rId11" w:history="1">
        <w:r>
          <w:rPr>
            <w:color w:val="0000FF"/>
            <w:u w:val="single"/>
            <w:lang w:val="en-US"/>
          </w:rPr>
          <w:t>https://www.vnmu.edu.ua/downloads/other/polog_organiz_ocv_proc(2026).pdf</w:t>
        </w:r>
      </w:hyperlink>
      <w:r>
        <w:rPr>
          <w:lang w:val="en-US"/>
        </w:rPr>
        <w:t>),  the</w:t>
      </w:r>
      <w:r>
        <w:rPr>
          <w:b/>
          <w:lang w:val="en-US"/>
        </w:rPr>
        <w:t xml:space="preserve"> </w:t>
      </w:r>
      <w:r>
        <w:rPr>
          <w:rStyle w:val="ae"/>
          <w:b w:val="0"/>
          <w:lang w:val="en-US"/>
        </w:rPr>
        <w:t>Regulations on the Organisation of the Educational Process for Higher Education Students Pursuing the Degree of Doctor of Philosophy at National Pirogov Memorial Medical University, Vinnytsya</w:t>
      </w:r>
      <w:r>
        <w:rPr>
          <w:lang w:val="en-US"/>
        </w:rPr>
        <w:t xml:space="preserve"> (</w:t>
      </w:r>
      <w:hyperlink r:id="rId12">
        <w:r>
          <w:rPr>
            <w:color w:val="0000FF"/>
            <w:u w:val="single" w:color="0000FF"/>
            <w:lang w:val="en-US"/>
          </w:rPr>
          <w:t>https://www.vnmu.edu.ua/downloads/other/pologPhD_org.pdf</w:t>
        </w:r>
      </w:hyperlink>
      <w:r>
        <w:rPr>
          <w:lang w:val="en-US"/>
        </w:rPr>
        <w:t xml:space="preserve">),; the </w:t>
      </w:r>
      <w:r>
        <w:rPr>
          <w:rStyle w:val="ae"/>
          <w:b w:val="0"/>
          <w:lang w:val="en-US"/>
        </w:rPr>
        <w:t>Law of Ukraine “On Education” (Article 42</w:t>
      </w:r>
      <w:r>
        <w:rPr>
          <w:rStyle w:val="ae"/>
          <w:lang w:val="en-US"/>
        </w:rPr>
        <w:t>)</w:t>
      </w:r>
      <w:r>
        <w:rPr>
          <w:lang w:val="en-US"/>
        </w:rPr>
        <w:t>; the</w:t>
      </w:r>
      <w:r>
        <w:rPr>
          <w:b/>
          <w:lang w:val="en-US"/>
        </w:rPr>
        <w:t xml:space="preserve"> </w:t>
      </w:r>
      <w:r>
        <w:rPr>
          <w:rStyle w:val="ae"/>
          <w:b w:val="0"/>
          <w:lang w:val="en-US"/>
        </w:rPr>
        <w:t>Law of Ukraine “On Academic Integrity</w:t>
      </w:r>
      <w:r>
        <w:rPr>
          <w:rStyle w:val="ae"/>
          <w:lang w:val="en-US"/>
        </w:rPr>
        <w:t>”</w:t>
      </w:r>
      <w:r>
        <w:rPr>
          <w:lang w:val="en-US"/>
        </w:rPr>
        <w:t xml:space="preserve">; and the </w:t>
      </w:r>
      <w:r>
        <w:rPr>
          <w:rStyle w:val="ae"/>
          <w:b w:val="0"/>
          <w:lang w:val="en-US"/>
        </w:rPr>
        <w:t>Code of Academic Integrity of National Pirogov Memorial Medical University, Vinnytsya</w:t>
      </w:r>
      <w:r>
        <w:rPr>
          <w:lang w:val="en-US"/>
        </w:rPr>
        <w:t xml:space="preserve"> (</w:t>
      </w:r>
      <w:hyperlink r:id="rId13" w:history="1">
        <w:r>
          <w:rPr>
            <w:color w:val="0000FF"/>
            <w:u w:val="single"/>
            <w:lang w:val="en-US" w:eastAsia="uk-UA"/>
          </w:rPr>
          <w:t>https://www.vnmu.edu.ua/downloads/other/kodex_akad_dobr_edit%202026.pdf</w:t>
        </w:r>
      </w:hyperlink>
      <w:r>
        <w:rPr>
          <w:color w:val="000000"/>
          <w:lang w:val="en-US" w:eastAsia="uk-UA"/>
        </w:rPr>
        <w:t>)</w:t>
      </w:r>
    </w:p>
    <w:p w:rsidR="007C567D" w:rsidRDefault="00B63B9E">
      <w:pPr>
        <w:pStyle w:val="ab"/>
        <w:spacing w:before="0" w:beforeAutospacing="0" w:after="0" w:afterAutospacing="0"/>
        <w:ind w:firstLine="567"/>
        <w:jc w:val="both"/>
        <w:rPr>
          <w:b/>
          <w:lang w:val="en-US"/>
        </w:rPr>
      </w:pPr>
      <w:r>
        <w:rPr>
          <w:rStyle w:val="ae"/>
          <w:b w:val="0"/>
          <w:lang w:val="en-US"/>
        </w:rPr>
        <w:t>Students are entitled to high-quality educational services and a safe learning environment under martial law, emergency situations and states of emergency; access to up-to-date scientific and educational information; and qualified academic guidance and support in studying the discipline and acquiring practical skills.</w:t>
      </w:r>
    </w:p>
    <w:p w:rsidR="007C567D" w:rsidRDefault="00B63B9E">
      <w:pPr>
        <w:pStyle w:val="ab"/>
        <w:spacing w:before="0" w:beforeAutospacing="0" w:after="0" w:afterAutospacing="0"/>
        <w:ind w:firstLine="567"/>
        <w:jc w:val="both"/>
        <w:rPr>
          <w:b/>
          <w:lang w:val="en-US"/>
        </w:rPr>
      </w:pPr>
      <w:r>
        <w:rPr>
          <w:rStyle w:val="ae"/>
          <w:b w:val="0"/>
          <w:lang w:val="en-US"/>
        </w:rPr>
        <w:t>The Department’s policy on the provision of educational services is student-centred and is based on the regulatory documents of the Ministry of Education and Science of Ukraine and the Ministry of Health of Ukraine, the University Statute, the procedures governing the provision of educational services, including in emergency situations, as stipulated by the principal regulations and administrative directives governing the organisation of the educational process at National Pirogov Memorial Medical University, Vinnytsya, as well as on the principles of academic integrity.</w:t>
      </w:r>
    </w:p>
    <w:p w:rsidR="007C567D" w:rsidRDefault="00B63B9E">
      <w:pPr>
        <w:widowControl w:val="0"/>
        <w:autoSpaceDE w:val="0"/>
        <w:autoSpaceDN w:val="0"/>
        <w:ind w:firstLine="567"/>
        <w:jc w:val="both"/>
      </w:pPr>
      <w:r>
        <w:rPr>
          <w:rStyle w:val="ae"/>
        </w:rPr>
        <w:t>Academic Integrity.</w:t>
      </w:r>
      <w:r>
        <w:t xml:space="preserve"> When studying the discipline and completing all types of learning assignments and/or research activities, students must comply with the </w:t>
      </w:r>
      <w:r>
        <w:rPr>
          <w:rStyle w:val="ae"/>
          <w:b w:val="0"/>
        </w:rPr>
        <w:t>Law of Ukraine “On Education” (Article 42)</w:t>
      </w:r>
      <w:r>
        <w:rPr>
          <w:b/>
        </w:rPr>
        <w:t xml:space="preserve">, </w:t>
      </w:r>
      <w:r>
        <w:t>th</w:t>
      </w:r>
      <w:r>
        <w:rPr>
          <w:b/>
        </w:rPr>
        <w:t xml:space="preserve">e </w:t>
      </w:r>
      <w:r>
        <w:rPr>
          <w:rStyle w:val="ae"/>
          <w:b w:val="0"/>
        </w:rPr>
        <w:t>Law of Ukraine “On Academic Integrity”</w:t>
      </w:r>
      <w:r>
        <w:rPr>
          <w:b/>
        </w:rPr>
        <w:t xml:space="preserve">, </w:t>
      </w:r>
      <w:r>
        <w:t>and the</w:t>
      </w:r>
      <w:r>
        <w:rPr>
          <w:b/>
        </w:rPr>
        <w:t xml:space="preserve"> </w:t>
      </w:r>
      <w:r>
        <w:rPr>
          <w:rStyle w:val="ae"/>
          <w:b w:val="0"/>
        </w:rPr>
        <w:t>Code of Academic Integrity of National Pirogov Memorial Medical University, Vinnytsya</w:t>
      </w:r>
      <w:r>
        <w:t xml:space="preserve"> (</w:t>
      </w:r>
      <w:hyperlink r:id="rId14" w:history="1">
        <w:r>
          <w:rPr>
            <w:rStyle w:val="aa"/>
          </w:rPr>
          <w:t>University website → General Information → Key Documents → Code of Academic Integrity</w:t>
        </w:r>
      </w:hyperlink>
      <w:r>
        <w:t>). In the event of a violation of academic integrity principles, appropriate measures shall be taken in accordance with the applicable regulatory documents.</w:t>
      </w:r>
    </w:p>
    <w:p w:rsidR="007C567D" w:rsidRDefault="00B63B9E">
      <w:pPr>
        <w:pStyle w:val="ab"/>
        <w:spacing w:before="0" w:beforeAutospacing="0" w:after="0" w:afterAutospacing="0"/>
        <w:ind w:firstLine="567"/>
        <w:jc w:val="both"/>
        <w:rPr>
          <w:lang w:val="en-US"/>
        </w:rPr>
      </w:pPr>
      <w:r>
        <w:rPr>
          <w:rStyle w:val="ae"/>
          <w:lang w:val="en-US"/>
        </w:rPr>
        <w:t>Compliance with VNMU Internal Regulations and Safety Requirements during Practical Classes.</w:t>
      </w:r>
      <w:r>
        <w:rPr>
          <w:lang w:val="en-US"/>
        </w:rPr>
        <w:t xml:space="preserve"> At the first practical class, the instructor provides a safety briefing on appropriate conduct on the Department premises, informs students of the location of the shelter and the evacuation route to the shelter in accordance with the approved evacuation plan, explains the rules of conduct while proceeding to and remaining in the shelter, and provides instructions on all actions stipulated by the Emergency Response Plan (pursuant to Order No. 505 dated 30 August 2023). In the event of an </w:t>
      </w:r>
      <w:r>
        <w:rPr>
          <w:rStyle w:val="ae"/>
          <w:b w:val="0"/>
          <w:lang w:val="en-US"/>
        </w:rPr>
        <w:t>air raid alert</w:t>
      </w:r>
      <w:r>
        <w:rPr>
          <w:lang w:val="en-US"/>
        </w:rPr>
        <w:t xml:space="preserve"> or any other emergency warning signal, the instructor suspends the class. The instructor and students proceed together to the shelter and remain there until the warning signal is cancelled. Once the alert has been lifted, the instructor and students either resume the class in the Department’s classrooms or students independently complete the remaining learning material, which is subsequently assessed at the next class.</w:t>
      </w:r>
    </w:p>
    <w:p w:rsidR="007C567D" w:rsidRDefault="00B63B9E">
      <w:pPr>
        <w:pStyle w:val="3"/>
        <w:spacing w:before="0"/>
        <w:ind w:firstLine="567"/>
        <w:jc w:val="both"/>
        <w:rPr>
          <w:rFonts w:ascii="Times New Roman" w:hAnsi="Times New Roman" w:cs="Times New Roman"/>
          <w:color w:val="000000" w:themeColor="text1"/>
        </w:rPr>
      </w:pPr>
      <w:r>
        <w:rPr>
          <w:rStyle w:val="ae"/>
          <w:rFonts w:ascii="Times New Roman" w:hAnsi="Times New Roman" w:cs="Times New Roman"/>
          <w:b/>
          <w:bCs/>
          <w:color w:val="000000" w:themeColor="text1"/>
        </w:rPr>
        <w:lastRenderedPageBreak/>
        <w:t>Requirements for Preparation for Practical Classes</w:t>
      </w:r>
    </w:p>
    <w:p w:rsidR="007C567D" w:rsidRDefault="00B63B9E">
      <w:pPr>
        <w:pStyle w:val="ab"/>
        <w:spacing w:before="0" w:beforeAutospacing="0" w:after="0" w:afterAutospacing="0"/>
        <w:ind w:firstLine="567"/>
        <w:jc w:val="both"/>
        <w:rPr>
          <w:color w:val="000000" w:themeColor="text1"/>
          <w:lang w:val="en-US"/>
        </w:rPr>
      </w:pPr>
      <w:r>
        <w:rPr>
          <w:color w:val="000000" w:themeColor="text1"/>
          <w:lang w:val="en-US"/>
        </w:rPr>
        <w:t>Students are required to participate actively in the educational process: attend classes and come adequately prepared; complete the test tasks related to the current topic in their workbooks and fill in the required diagrams and tables; actively participate in discussions of the class topic; complete all assignments specified in the programme; search for additional information relevant to the topic and present it to their peers.</w:t>
      </w:r>
    </w:p>
    <w:p w:rsidR="007C567D" w:rsidRDefault="00B63B9E">
      <w:pPr>
        <w:pStyle w:val="ab"/>
        <w:spacing w:before="0" w:beforeAutospacing="0" w:after="0" w:afterAutospacing="0"/>
        <w:ind w:firstLine="567"/>
        <w:jc w:val="both"/>
        <w:rPr>
          <w:color w:val="000000" w:themeColor="text1"/>
          <w:lang w:val="en-US"/>
        </w:rPr>
      </w:pPr>
      <w:r>
        <w:rPr>
          <w:color w:val="000000" w:themeColor="text1"/>
          <w:lang w:val="en-US"/>
        </w:rPr>
        <w:t xml:space="preserve">Students are expected to arrive at classes on time. Late arrival is not permitted in accordance with the </w:t>
      </w:r>
      <w:r>
        <w:rPr>
          <w:rStyle w:val="ae"/>
          <w:b w:val="0"/>
          <w:color w:val="000000" w:themeColor="text1"/>
          <w:lang w:val="en-US"/>
        </w:rPr>
        <w:t>Internal Regulations for Students of VNMU</w:t>
      </w:r>
      <w:r>
        <w:rPr>
          <w:b/>
          <w:color w:val="000000" w:themeColor="text1"/>
          <w:lang w:val="en-US"/>
        </w:rPr>
        <w:t>.</w:t>
      </w:r>
      <w:r>
        <w:rPr>
          <w:color w:val="000000" w:themeColor="text1"/>
          <w:lang w:val="en-US"/>
        </w:rPr>
        <w:t xml:space="preserve"> A student who arrives more than 10 minutes late is not admitted to the class and is required to make up the missed class in accordance with the established procedure.</w:t>
      </w:r>
    </w:p>
    <w:p w:rsidR="007C567D" w:rsidRDefault="00B63B9E">
      <w:pPr>
        <w:pStyle w:val="ab"/>
        <w:spacing w:before="0" w:beforeAutospacing="0" w:after="0" w:afterAutospacing="0"/>
        <w:ind w:firstLine="567"/>
        <w:jc w:val="both"/>
        <w:rPr>
          <w:lang w:val="en-US"/>
        </w:rPr>
      </w:pPr>
      <w:r>
        <w:rPr>
          <w:lang w:val="en-US"/>
        </w:rPr>
        <w:t>Students are expected to be polite, courteous, and respectful in their interactions with teaching staff, other University employees, fellow students, and other persons studying at VNMU. Students must maintain a quiet and orderly environment and demonstrate appropriate conduct on the Department premises.</w:t>
      </w:r>
    </w:p>
    <w:p w:rsidR="007C567D" w:rsidRDefault="00B63B9E">
      <w:pPr>
        <w:pStyle w:val="ab"/>
        <w:spacing w:before="0" w:beforeAutospacing="0" w:after="0" w:afterAutospacing="0"/>
        <w:ind w:firstLine="567"/>
        <w:jc w:val="both"/>
        <w:rPr>
          <w:lang w:val="en-US"/>
        </w:rPr>
      </w:pPr>
      <w:r>
        <w:rPr>
          <w:lang w:val="en-US"/>
        </w:rPr>
        <w:t>In its activities, the Department adheres to the principles of mutual respect and tolerance. Students are expected to uphold the same principles.</w:t>
      </w:r>
    </w:p>
    <w:p w:rsidR="007C567D" w:rsidRDefault="00B63B9E">
      <w:pPr>
        <w:pStyle w:val="ab"/>
        <w:spacing w:before="0" w:beforeAutospacing="0" w:after="0" w:afterAutospacing="0"/>
        <w:ind w:firstLine="567"/>
        <w:jc w:val="both"/>
        <w:rPr>
          <w:lang w:val="en-US"/>
        </w:rPr>
      </w:pPr>
      <w:r>
        <w:rPr>
          <w:lang w:val="en-US"/>
        </w:rPr>
        <w:t>Students must comply with safety regulations while on the Department premises.</w:t>
      </w:r>
    </w:p>
    <w:p w:rsidR="007C567D" w:rsidRDefault="00B63B9E">
      <w:pPr>
        <w:pStyle w:val="ab"/>
        <w:spacing w:before="0" w:beforeAutospacing="0" w:after="0" w:afterAutospacing="0"/>
        <w:ind w:firstLine="567"/>
        <w:jc w:val="both"/>
        <w:rPr>
          <w:lang w:val="en-US"/>
        </w:rPr>
      </w:pPr>
      <w:r>
        <w:rPr>
          <w:lang w:val="en-US"/>
        </w:rPr>
        <w:t>When working in teaching and research laboratories, students must comply with the applicable safety regulations (published on the website of the Pharmacy Department). When completing practical assignments, students must keep their workstations clean and orderly and leave them tidy upon completion of the practical work.</w:t>
      </w:r>
    </w:p>
    <w:p w:rsidR="007C567D" w:rsidRDefault="00B63B9E">
      <w:pPr>
        <w:pStyle w:val="ab"/>
        <w:spacing w:before="0" w:beforeAutospacing="0" w:after="0" w:afterAutospacing="0"/>
        <w:ind w:firstLine="567"/>
        <w:jc w:val="both"/>
        <w:rPr>
          <w:lang w:val="en-US"/>
        </w:rPr>
      </w:pPr>
      <w:r>
        <w:rPr>
          <w:rStyle w:val="ae"/>
          <w:lang w:val="en-US"/>
        </w:rPr>
        <w:t>Use of Mobile Phones and Other Electronic Devices.</w:t>
      </w:r>
      <w:r>
        <w:rPr>
          <w:lang w:val="en-US"/>
        </w:rPr>
        <w:t xml:space="preserve"> The use of mobile phones and other electronic devices during classes is not permitted, except for emergency calls or when such devices are used to present supplementary materials relevant to the topic of the class.</w:t>
      </w:r>
    </w:p>
    <w:p w:rsidR="007C567D" w:rsidRDefault="00B63B9E">
      <w:pPr>
        <w:pStyle w:val="ab"/>
        <w:spacing w:before="0" w:beforeAutospacing="0" w:after="0" w:afterAutospacing="0"/>
        <w:ind w:firstLine="567"/>
        <w:jc w:val="both"/>
        <w:rPr>
          <w:lang w:val="en-US"/>
        </w:rPr>
      </w:pPr>
      <w:r>
        <w:rPr>
          <w:rStyle w:val="ae"/>
          <w:lang w:val="en-US"/>
        </w:rPr>
        <w:t>Absence from Classes.</w:t>
      </w:r>
      <w:r>
        <w:rPr>
          <w:lang w:val="en-US"/>
        </w:rPr>
        <w:t xml:space="preserve"> Missed classes must be made up in accordance with the procedure established by the current </w:t>
      </w:r>
      <w:r>
        <w:rPr>
          <w:rStyle w:val="ae"/>
          <w:b w:val="0"/>
          <w:lang w:val="en-US"/>
        </w:rPr>
        <w:t>Regulations on the Organization of the Educational Process at National Pirogov Memorial Medical University, Vinnytsya</w:t>
      </w:r>
      <w:r>
        <w:rPr>
          <w:lang w:val="en-US"/>
        </w:rPr>
        <w:t xml:space="preserve"> </w:t>
      </w:r>
      <w:hyperlink r:id="rId15" w:history="1">
        <w:r>
          <w:rPr>
            <w:color w:val="0000FF"/>
            <w:u w:val="single"/>
            <w:lang w:val="en-US"/>
          </w:rPr>
          <w:t>https://www.vnmu.edu.ua/downloads/other/polog_organiz_ocv_proc(2026).pdf</w:t>
        </w:r>
      </w:hyperlink>
      <w:r>
        <w:rPr>
          <w:lang w:val="en-US"/>
        </w:rPr>
        <w:t>), at the times specified in the make-up schedule published on the website of the Pharmacy Department (</w:t>
      </w:r>
      <w:hyperlink r:id="rId16" w:history="1">
        <w:r>
          <w:rPr>
            <w:rStyle w:val="aa"/>
            <w:lang w:val="en-US"/>
          </w:rPr>
          <w:t>VNMU website</w:t>
        </w:r>
      </w:hyperlink>
      <w:r>
        <w:rPr>
          <w:lang w:val="en-US"/>
        </w:rPr>
        <w:t>), either with the instructor on duty or with the student’s regular instructor. Making up a missed class involves completing the assignments related to the topic of the missed class in accordance with the specific requirements of the discipline.</w:t>
      </w:r>
    </w:p>
    <w:p w:rsidR="007C567D" w:rsidRDefault="00B63B9E">
      <w:pPr>
        <w:pStyle w:val="ab"/>
        <w:spacing w:before="0" w:beforeAutospacing="0" w:after="0" w:afterAutospacing="0"/>
        <w:ind w:firstLine="567"/>
        <w:jc w:val="both"/>
        <w:rPr>
          <w:lang w:val="en-US"/>
        </w:rPr>
      </w:pPr>
      <w:r>
        <w:rPr>
          <w:lang w:val="en-US"/>
        </w:rPr>
        <w:t xml:space="preserve">Mastery of lecture topics is assessed during practical classes, seminars (including the assessment of practical skills), and final assessment, in accordance with the </w:t>
      </w:r>
      <w:r>
        <w:rPr>
          <w:rStyle w:val="ae"/>
          <w:b w:val="0"/>
          <w:lang w:val="en-US"/>
        </w:rPr>
        <w:t>Regulations on the Organisation of the Educational Process at National Pirogov Memorial Medical University, Vinnytsya</w:t>
      </w:r>
      <w:r>
        <w:rPr>
          <w:lang w:val="en-US"/>
        </w:rPr>
        <w:t xml:space="preserve"> (</w:t>
      </w:r>
      <w:hyperlink r:id="rId17" w:history="1">
        <w:r>
          <w:rPr>
            <w:color w:val="0000FF"/>
            <w:u w:val="single"/>
            <w:lang w:val="en-US"/>
          </w:rPr>
          <w:t>https://www.vnmu.edu.ua/downloads/other/polog_organiz_ocv_proc(2026).pdf</w:t>
        </w:r>
      </w:hyperlink>
      <w:r>
        <w:rPr>
          <w:lang w:val="en-US"/>
        </w:rPr>
        <w:t>)</w:t>
      </w:r>
    </w:p>
    <w:p w:rsidR="007C567D" w:rsidRDefault="00B63B9E">
      <w:pPr>
        <w:pStyle w:val="ab"/>
        <w:spacing w:before="0" w:beforeAutospacing="0" w:after="0" w:afterAutospacing="0"/>
        <w:ind w:firstLine="567"/>
        <w:jc w:val="both"/>
        <w:rPr>
          <w:lang w:val="en-US"/>
        </w:rPr>
      </w:pPr>
      <w:r>
        <w:rPr>
          <w:rStyle w:val="ae"/>
          <w:lang w:val="en-US"/>
        </w:rPr>
        <w:t>Admission to Final Assessment.</w:t>
      </w:r>
      <w:r>
        <w:rPr>
          <w:lang w:val="en-US"/>
        </w:rPr>
        <w:t xml:space="preserve"> The procedure for admission to final assessment in the discipline is set out in the current </w:t>
      </w:r>
      <w:r>
        <w:rPr>
          <w:rStyle w:val="ae"/>
          <w:b w:val="0"/>
          <w:lang w:val="en-US"/>
        </w:rPr>
        <w:t>Regulations on the Organisation of the Educational Process at National Pirogov Memorial Medical University, Vinnytsya</w:t>
      </w:r>
      <w:r>
        <w:rPr>
          <w:lang w:val="en-US"/>
        </w:rPr>
        <w:t xml:space="preserve"> (</w:t>
      </w:r>
      <w:hyperlink r:id="rId18" w:history="1">
        <w:r>
          <w:rPr>
            <w:color w:val="0000FF"/>
            <w:u w:val="single"/>
            <w:lang w:val="en-US"/>
          </w:rPr>
          <w:t>https://www.vnmu.edu.ua/downloads/other/polog_organiz_ocv_proc(2026).pdf</w:t>
        </w:r>
      </w:hyperlink>
      <w:r>
        <w:rPr>
          <w:lang w:val="en-US"/>
        </w:rPr>
        <w:t>).</w:t>
      </w:r>
    </w:p>
    <w:p w:rsidR="007C567D" w:rsidRDefault="00B63B9E">
      <w:pPr>
        <w:pStyle w:val="ab"/>
        <w:spacing w:before="0" w:beforeAutospacing="0" w:after="0" w:afterAutospacing="0"/>
        <w:ind w:firstLine="567"/>
        <w:jc w:val="both"/>
        <w:rPr>
          <w:lang w:val="uk-UA"/>
        </w:rPr>
      </w:pPr>
      <w:r>
        <w:rPr>
          <w:lang w:val="en-US"/>
        </w:rPr>
        <w:t xml:space="preserve">Students are admitted to final assessment provided that they have </w:t>
      </w:r>
      <w:r>
        <w:rPr>
          <w:rStyle w:val="ae"/>
          <w:b w:val="0"/>
          <w:lang w:val="en-US"/>
        </w:rPr>
        <w:t>no outstanding academic requirements</w:t>
      </w:r>
      <w:r>
        <w:rPr>
          <w:b/>
          <w:lang w:val="en-US"/>
        </w:rPr>
        <w:t>:</w:t>
      </w:r>
      <w:r>
        <w:rPr>
          <w:lang w:val="en-US"/>
        </w:rPr>
        <w:t xml:space="preserve"> the average grade for ongoing assessment must be at least </w:t>
      </w:r>
      <w:r>
        <w:rPr>
          <w:rStyle w:val="ae"/>
          <w:b w:val="0"/>
          <w:lang w:val="en-US"/>
        </w:rPr>
        <w:t>3.0 (72 points on the 120-point scale)</w:t>
      </w:r>
      <w:r>
        <w:rPr>
          <w:lang w:val="en-US"/>
        </w:rPr>
        <w:t xml:space="preserve">; all final sessions for the content modules must have been completed with a passing grade </w:t>
      </w:r>
      <w:r>
        <w:rPr>
          <w:b/>
          <w:lang w:val="en-US"/>
        </w:rPr>
        <w:t>(</w:t>
      </w:r>
      <w:r>
        <w:rPr>
          <w:rStyle w:val="ae"/>
          <w:b w:val="0"/>
          <w:lang w:val="en-US"/>
        </w:rPr>
        <w:t>“3” or higher</w:t>
      </w:r>
      <w:r>
        <w:rPr>
          <w:lang w:val="en-US"/>
        </w:rPr>
        <w:t xml:space="preserve">); and all missed practical classes must have been made up with a passing grade </w:t>
      </w:r>
      <w:r>
        <w:rPr>
          <w:b/>
          <w:lang w:val="en-US"/>
        </w:rPr>
        <w:t>(</w:t>
      </w:r>
      <w:r>
        <w:rPr>
          <w:rStyle w:val="ae"/>
          <w:b w:val="0"/>
          <w:lang w:val="en-US"/>
        </w:rPr>
        <w:t>“3” or higher</w:t>
      </w:r>
      <w:r>
        <w:rPr>
          <w:b/>
          <w:lang w:val="en-US"/>
        </w:rPr>
        <w:t>).</w:t>
      </w:r>
      <w:r>
        <w:rPr>
          <w:lang w:val="en-US"/>
        </w:rPr>
        <w:t xml:space="preserve"> Otherwise, the student must improve their average grade by making up unsatisfactory grades and must make up all missed classes.</w:t>
      </w:r>
    </w:p>
    <w:p w:rsidR="007C567D" w:rsidRDefault="00B63B9E">
      <w:pPr>
        <w:widowControl w:val="0"/>
        <w:autoSpaceDE w:val="0"/>
        <w:autoSpaceDN w:val="0"/>
        <w:adjustRightInd w:val="0"/>
        <w:ind w:firstLine="567"/>
        <w:jc w:val="both"/>
      </w:pPr>
      <w:r>
        <w:rPr>
          <w:rStyle w:val="ae"/>
        </w:rPr>
        <w:t>Additional Points for Individual Assignments.</w:t>
      </w:r>
      <w:r>
        <w:t xml:space="preserve"> Students may receive additional points in the discipline for the successful completion of individual assignments, the content of which is published on the Department’s website as part of the teaching and learning materials for the discipline. The number of points awarded is determined based on the results of the individual assignment in accordance with the current </w:t>
      </w:r>
      <w:r>
        <w:rPr>
          <w:rStyle w:val="ae"/>
          <w:b w:val="0"/>
        </w:rPr>
        <w:t>Regulations on the Organisation of the Educational Process at National Pirogov Memorial Medical University, Vinnytsya</w:t>
      </w:r>
      <w:r>
        <w:rPr>
          <w:b/>
        </w:rPr>
        <w:t>.</w:t>
      </w:r>
      <w:r>
        <w:rPr>
          <w:b/>
          <w:lang w:val="en-US"/>
        </w:rPr>
        <w:t xml:space="preserve"> </w:t>
      </w:r>
      <w:r>
        <w:rPr>
          <w:lang w:val="en-US"/>
        </w:rPr>
        <w:t>(</w:t>
      </w:r>
      <w:hyperlink r:id="rId19" w:history="1">
        <w:r>
          <w:rPr>
            <w:color w:val="0000FF"/>
            <w:u w:val="single"/>
            <w:lang w:val="en-US"/>
          </w:rPr>
          <w:t>ht</w:t>
        </w:r>
        <w:r>
          <w:rPr>
            <w:color w:val="0000FF"/>
            <w:u w:val="single"/>
          </w:rPr>
          <w:t>tps://www.vnmu.edu.ua/downloads/other/polog_organiz_ocv_proc(2026).pdf</w:t>
        </w:r>
      </w:hyperlink>
      <w:r>
        <w:t xml:space="preserve">). </w:t>
      </w:r>
    </w:p>
    <w:p w:rsidR="007C567D" w:rsidRDefault="00B63B9E">
      <w:pPr>
        <w:pStyle w:val="3"/>
        <w:spacing w:before="0"/>
        <w:ind w:firstLine="567"/>
        <w:rPr>
          <w:rFonts w:ascii="Times New Roman" w:hAnsi="Times New Roman" w:cs="Times New Roman"/>
          <w:color w:val="000000" w:themeColor="text1"/>
        </w:rPr>
      </w:pPr>
      <w:r>
        <w:rPr>
          <w:rStyle w:val="ae"/>
          <w:rFonts w:ascii="Times New Roman" w:hAnsi="Times New Roman" w:cs="Times New Roman"/>
          <w:b/>
          <w:bCs/>
          <w:color w:val="000000" w:themeColor="text1"/>
        </w:rPr>
        <w:lastRenderedPageBreak/>
        <w:t>Resolution of Conflict Situations</w:t>
      </w:r>
    </w:p>
    <w:p w:rsidR="007C567D" w:rsidRDefault="00B63B9E">
      <w:pPr>
        <w:pStyle w:val="ab"/>
        <w:spacing w:before="0" w:beforeAutospacing="0" w:after="0" w:afterAutospacing="0"/>
        <w:ind w:firstLine="567"/>
        <w:jc w:val="both"/>
        <w:rPr>
          <w:lang w:val="en-US"/>
        </w:rPr>
      </w:pPr>
      <w:r>
        <w:rPr>
          <w:lang w:val="en-US"/>
        </w:rPr>
        <w:t xml:space="preserve">In the event of misunderstandings or concerns regarding the quality of educational services, assessment of academic performance, or other conflict situations involving an instructor, students should first raise their concerns directly with the instructor. If the issue remains unresolved, the student has the right to submit an appeal to the Head of the Department in accordance with the </w:t>
      </w:r>
      <w:r>
        <w:rPr>
          <w:rStyle w:val="ae"/>
          <w:b w:val="0"/>
          <w:lang w:val="en-US"/>
        </w:rPr>
        <w:t>Regulations on the Consideration of Appeals from Higher Education Students at National Pirogov Memorial Medical University, Vinnytsya</w:t>
      </w:r>
      <w:r>
        <w:rPr>
          <w:lang w:val="en-US"/>
        </w:rPr>
        <w:t xml:space="preserve"> (</w:t>
      </w:r>
      <w:hyperlink r:id="rId20" w:history="1">
        <w:r>
          <w:rPr>
            <w:rStyle w:val="aa"/>
            <w:lang w:val="en-US"/>
          </w:rPr>
          <w:t>VNMU website → General Information → Key Documents</w:t>
        </w:r>
      </w:hyperlink>
      <w:r>
        <w:rPr>
          <w:lang w:val="en-US"/>
        </w:rPr>
        <w:t>).</w:t>
      </w:r>
    </w:p>
    <w:p w:rsidR="007C567D" w:rsidRDefault="00B63B9E">
      <w:pPr>
        <w:pStyle w:val="ab"/>
        <w:spacing w:before="0" w:beforeAutospacing="0" w:after="0" w:afterAutospacing="0"/>
        <w:ind w:firstLine="567"/>
        <w:jc w:val="both"/>
        <w:rPr>
          <w:lang w:val="en-US"/>
        </w:rPr>
      </w:pPr>
      <w:r>
        <w:rPr>
          <w:lang w:val="en-US"/>
        </w:rPr>
        <w:t>Students also have the right to contact the student self-government bodies, the administration of the Faculty (Institute), or the University administration, either directly or through the designated feedback channels (“trust boxes”), links and addresses for which are available on the official VNMU website.</w:t>
      </w:r>
    </w:p>
    <w:p w:rsidR="007C567D" w:rsidRDefault="00B63B9E">
      <w:pPr>
        <w:pStyle w:val="ab"/>
        <w:spacing w:before="0" w:beforeAutospacing="0" w:after="0" w:afterAutospacing="0"/>
        <w:ind w:firstLine="567"/>
        <w:jc w:val="both"/>
        <w:rPr>
          <w:lang w:val="en-US"/>
        </w:rPr>
      </w:pPr>
      <w:r>
        <w:rPr>
          <w:lang w:val="en-US"/>
        </w:rPr>
        <w:t xml:space="preserve">The Department recognises that a </w:t>
      </w:r>
      <w:r>
        <w:rPr>
          <w:rStyle w:val="ae"/>
          <w:b w:val="0"/>
          <w:lang w:val="en-US"/>
        </w:rPr>
        <w:t>student-centred approach</w:t>
      </w:r>
      <w:r>
        <w:rPr>
          <w:lang w:val="en-US"/>
        </w:rPr>
        <w:t xml:space="preserve"> entails students’ responsibility for the conscious and active acquisition of knowledge and for proper compliance with the rules and requirements established by applicable legislation and VNMU regulatory documents. The Department reserves the right to inform the relevant University bodies of any violations committed by students.</w:t>
      </w:r>
    </w:p>
    <w:p w:rsidR="007C567D" w:rsidRDefault="00B63B9E">
      <w:pPr>
        <w:pStyle w:val="3"/>
        <w:spacing w:before="0"/>
        <w:ind w:firstLine="567"/>
        <w:rPr>
          <w:rFonts w:ascii="Times New Roman" w:hAnsi="Times New Roman" w:cs="Times New Roman"/>
          <w:color w:val="000000" w:themeColor="text1"/>
        </w:rPr>
      </w:pPr>
      <w:r>
        <w:rPr>
          <w:rStyle w:val="ae"/>
          <w:rFonts w:ascii="Times New Roman" w:hAnsi="Times New Roman" w:cs="Times New Roman"/>
          <w:b/>
          <w:bCs/>
          <w:color w:val="000000" w:themeColor="text1"/>
        </w:rPr>
        <w:t>Policy on Blended Learning</w:t>
      </w:r>
    </w:p>
    <w:p w:rsidR="007C567D" w:rsidRDefault="00B63B9E">
      <w:pPr>
        <w:pStyle w:val="ab"/>
        <w:spacing w:before="0" w:beforeAutospacing="0" w:after="0" w:afterAutospacing="0"/>
        <w:ind w:firstLine="567"/>
        <w:jc w:val="both"/>
        <w:rPr>
          <w:lang w:val="en-US"/>
        </w:rPr>
      </w:pPr>
      <w:r>
        <w:rPr>
          <w:lang w:val="en-US"/>
        </w:rPr>
        <w:t xml:space="preserve">The organisation of blended learning is governed by the </w:t>
      </w:r>
      <w:r>
        <w:rPr>
          <w:rStyle w:val="ae"/>
          <w:b w:val="0"/>
          <w:lang w:val="en-US"/>
        </w:rPr>
        <w:t>Regulations on the Introduction of Elements of Distance Learning at National Pirogov Memorial Medical University, Vinnytsya</w:t>
      </w:r>
      <w:r>
        <w:rPr>
          <w:lang w:val="en-US"/>
        </w:rPr>
        <w:t xml:space="preserve"> (</w:t>
      </w:r>
      <w:hyperlink r:id="rId21" w:history="1">
        <w:r>
          <w:rPr>
            <w:rStyle w:val="aa"/>
            <w:lang w:val="en-US"/>
          </w:rPr>
          <w:t>VNMU website → General Information → Key Documents</w:t>
        </w:r>
      </w:hyperlink>
      <w:r>
        <w:rPr>
          <w:lang w:val="en-US"/>
        </w:rPr>
        <w:t xml:space="preserve">). The main online learning platforms used for classes are </w:t>
      </w:r>
      <w:r>
        <w:rPr>
          <w:rStyle w:val="ae"/>
          <w:b w:val="0"/>
          <w:lang w:val="en-US"/>
        </w:rPr>
        <w:t>Microsoft Teams</w:t>
      </w:r>
      <w:r>
        <w:rPr>
          <w:b/>
          <w:lang w:val="en-US"/>
        </w:rPr>
        <w:t xml:space="preserve"> </w:t>
      </w:r>
      <w:r>
        <w:rPr>
          <w:lang w:val="en-US"/>
        </w:rPr>
        <w:t xml:space="preserve">and </w:t>
      </w:r>
      <w:r>
        <w:rPr>
          <w:rStyle w:val="ae"/>
          <w:b w:val="0"/>
          <w:lang w:val="en-US"/>
        </w:rPr>
        <w:t>Google Meet</w:t>
      </w:r>
      <w:r>
        <w:rPr>
          <w:lang w:val="en-US"/>
        </w:rPr>
        <w:t>.</w:t>
      </w:r>
    </w:p>
    <w:p w:rsidR="007C567D" w:rsidRDefault="00B63B9E">
      <w:pPr>
        <w:pStyle w:val="ab"/>
        <w:spacing w:before="0" w:beforeAutospacing="0" w:after="0" w:afterAutospacing="0"/>
        <w:ind w:firstLine="567"/>
        <w:jc w:val="both"/>
        <w:rPr>
          <w:lang w:val="en-US"/>
        </w:rPr>
      </w:pPr>
      <w:r>
        <w:rPr>
          <w:lang w:val="en-US"/>
        </w:rPr>
        <w:t>The procedures for conducting practical classes, lectures, make-up classes, and consultations in the distance learning format are published on the Department’s webpage (</w:t>
      </w:r>
      <w:hyperlink r:id="rId22" w:history="1">
        <w:r>
          <w:rPr>
            <w:rStyle w:val="aa"/>
            <w:lang w:val="en-US"/>
          </w:rPr>
          <w:t>VNMU website</w:t>
        </w:r>
      </w:hyperlink>
      <w:r>
        <w:rPr>
          <w:lang w:val="en-US"/>
        </w:rPr>
        <w:t xml:space="preserve"> →</w:t>
      </w:r>
      <w:r>
        <w:rPr>
          <w:b/>
          <w:lang w:val="en-US"/>
        </w:rPr>
        <w:t xml:space="preserve"> </w:t>
      </w:r>
      <w:r>
        <w:rPr>
          <w:lang w:val="en-US"/>
        </w:rPr>
        <w:t>Pharmacy Department</w:t>
      </w:r>
      <w:r>
        <w:rPr>
          <w:rStyle w:val="ae"/>
          <w:b w:val="0"/>
          <w:lang w:val="en-US"/>
        </w:rPr>
        <w:t xml:space="preserve"> → For Students/Postgraduate Students → Mode of Study → Year of Study → Teaching and Learning Materials</w:t>
      </w:r>
      <w:r>
        <w:rPr>
          <w:b/>
          <w:lang w:val="en-US"/>
        </w:rPr>
        <w:t>).</w:t>
      </w:r>
    </w:p>
    <w:p w:rsidR="007C567D" w:rsidRDefault="00B63B9E">
      <w:pPr>
        <w:pStyle w:val="ab"/>
        <w:spacing w:before="0" w:beforeAutospacing="0" w:after="0" w:afterAutospacing="0"/>
        <w:ind w:firstLine="567"/>
        <w:jc w:val="both"/>
        <w:rPr>
          <w:lang w:val="en-US"/>
        </w:rPr>
      </w:pPr>
      <w:r>
        <w:rPr>
          <w:rStyle w:val="ae"/>
          <w:lang w:val="en-US"/>
        </w:rPr>
        <w:t>Communication with the Instructor.</w:t>
      </w:r>
      <w:r>
        <w:rPr>
          <w:lang w:val="en-US"/>
        </w:rPr>
        <w:t xml:space="preserve"> Students may contact the instructor via </w:t>
      </w:r>
      <w:r>
        <w:rPr>
          <w:rStyle w:val="ae"/>
          <w:b w:val="0"/>
          <w:lang w:val="en-US"/>
        </w:rPr>
        <w:t>Microsoft Teams chat, messaging applications (Viber, Telegram, WhatsApp), or email</w:t>
      </w:r>
      <w:r>
        <w:rPr>
          <w:b/>
          <w:lang w:val="en-US"/>
        </w:rPr>
        <w:t>,</w:t>
      </w:r>
      <w:r>
        <w:rPr>
          <w:lang w:val="en-US"/>
        </w:rPr>
        <w:t xml:space="preserve"> as determined by the instructor, during working hours.</w:t>
      </w:r>
    </w:p>
    <w:p w:rsidR="007C567D" w:rsidRDefault="00B63B9E">
      <w:pPr>
        <w:pStyle w:val="3"/>
        <w:spacing w:before="0"/>
        <w:ind w:firstLine="567"/>
        <w:rPr>
          <w:rFonts w:ascii="Times New Roman" w:eastAsia="Times New Roman" w:hAnsi="Times New Roman" w:cs="Times New Roman"/>
          <w:color w:val="auto"/>
        </w:rPr>
      </w:pPr>
      <w:r>
        <w:rPr>
          <w:rFonts w:ascii="Times New Roman" w:eastAsia="Times New Roman" w:hAnsi="Times New Roman" w:cs="Times New Roman"/>
          <w:color w:val="auto"/>
        </w:rPr>
        <w:t>9. LEARNING RESOURCES</w:t>
      </w:r>
    </w:p>
    <w:p w:rsidR="007C567D" w:rsidRDefault="00B63B9E">
      <w:pPr>
        <w:pStyle w:val="ab"/>
        <w:spacing w:before="0" w:beforeAutospacing="0" w:after="0" w:afterAutospacing="0"/>
        <w:ind w:firstLine="567"/>
        <w:rPr>
          <w:rStyle w:val="ae"/>
          <w:color w:val="0000FF"/>
        </w:rPr>
      </w:pPr>
      <w:r>
        <w:rPr>
          <w:lang w:val="en-US"/>
        </w:rPr>
        <w:t xml:space="preserve">Teaching and learning materials for the discipline are available on the Department’s website. The materials can be accessed via: </w:t>
      </w:r>
      <w:hyperlink r:id="rId23" w:history="1">
        <w:r>
          <w:rPr>
            <w:rStyle w:val="aa"/>
            <w:lang w:val="en-US"/>
          </w:rPr>
          <w:t>VNMU website →</w:t>
        </w:r>
        <w:r>
          <w:rPr>
            <w:rStyle w:val="aa"/>
            <w:rFonts w:eastAsia="SimSun"/>
            <w:lang w:val="en-US"/>
          </w:rPr>
          <w:t xml:space="preserve"> [Pharmacy Department] </w:t>
        </w:r>
        <w:r>
          <w:rPr>
            <w:rStyle w:val="aa"/>
            <w:lang w:val="en-US"/>
          </w:rPr>
          <w:t>→ For Students/Postgraduate Students</w:t>
        </w:r>
      </w:hyperlink>
      <w:r>
        <w:rPr>
          <w:lang w:val="en-US"/>
        </w:rPr>
        <w:t>.</w:t>
      </w:r>
    </w:p>
    <w:p w:rsidR="007C567D" w:rsidRDefault="007C567D">
      <w:pPr>
        <w:widowControl w:val="0"/>
        <w:autoSpaceDE w:val="0"/>
        <w:autoSpaceDN w:val="0"/>
        <w:ind w:firstLine="567"/>
        <w:outlineLvl w:val="0"/>
        <w:rPr>
          <w:b/>
          <w:bCs/>
          <w:spacing w:val="-2"/>
        </w:rPr>
      </w:pPr>
    </w:p>
    <w:p w:rsidR="007C567D" w:rsidRDefault="00B63B9E">
      <w:pPr>
        <w:widowControl w:val="0"/>
        <w:autoSpaceDE w:val="0"/>
        <w:autoSpaceDN w:val="0"/>
        <w:ind w:firstLine="567"/>
        <w:outlineLvl w:val="0"/>
        <w:rPr>
          <w:b/>
          <w:bCs/>
        </w:rPr>
      </w:pPr>
      <w:r>
        <w:rPr>
          <w:b/>
          <w:bCs/>
          <w:spacing w:val="-2"/>
        </w:rPr>
        <w:t>LITERATURE</w:t>
      </w:r>
    </w:p>
    <w:p w:rsidR="007C567D" w:rsidRDefault="00B63B9E">
      <w:pPr>
        <w:ind w:firstLine="567"/>
        <w:jc w:val="center"/>
        <w:rPr>
          <w:b/>
          <w:lang w:val="uk-UA"/>
        </w:rPr>
      </w:pPr>
      <w:r>
        <w:rPr>
          <w:b/>
          <w:bCs/>
          <w:lang w:val="uk-UA"/>
        </w:rPr>
        <w:t>Core Literature</w:t>
      </w:r>
    </w:p>
    <w:p w:rsidR="00FC10F2" w:rsidRDefault="00FC10F2" w:rsidP="00FC10F2">
      <w:pPr>
        <w:pStyle w:val="af2"/>
        <w:numPr>
          <w:ilvl w:val="0"/>
          <w:numId w:val="4"/>
        </w:numPr>
        <w:shd w:val="clear" w:color="auto" w:fill="FFFFFF"/>
        <w:adjustRightInd w:val="0"/>
        <w:jc w:val="both"/>
      </w:pPr>
      <w:r>
        <w:t>1. Posylkina O. V., Kozyrieva O. V., Derenska Ya. M. Analysis of Enterprise Activity: A Study Guide. — Kharkiv: NUPh, 2019. — 398 p.</w:t>
      </w:r>
    </w:p>
    <w:p w:rsidR="00FC10F2" w:rsidRDefault="00FC10F2" w:rsidP="00FC10F2">
      <w:pPr>
        <w:pStyle w:val="af2"/>
        <w:numPr>
          <w:ilvl w:val="0"/>
          <w:numId w:val="4"/>
        </w:numPr>
        <w:shd w:val="clear" w:color="auto" w:fill="FFFFFF"/>
        <w:adjustRightInd w:val="0"/>
        <w:jc w:val="both"/>
      </w:pPr>
      <w:r>
        <w:t>2. Chernysh S. S. Economic Analysis. — Kyiv: TsUL, 2021. — 312 p.</w:t>
      </w:r>
    </w:p>
    <w:p w:rsidR="00FC10F2" w:rsidRDefault="00FC10F2" w:rsidP="00FC10F2">
      <w:pPr>
        <w:pStyle w:val="af2"/>
        <w:numPr>
          <w:ilvl w:val="0"/>
          <w:numId w:val="4"/>
        </w:numPr>
        <w:shd w:val="clear" w:color="auto" w:fill="FFFFFF"/>
        <w:adjustRightInd w:val="0"/>
        <w:jc w:val="both"/>
      </w:pPr>
      <w:r>
        <w:t>3. Semeniv D. V., Fedenko S. M., Hetalo O. V., et al. Fundamentals of Economics in Pharmacy: A Teaching and Methodological Manual. – Kyiv: Kyiv International University, 2021. – 144 p.</w:t>
      </w:r>
    </w:p>
    <w:p w:rsidR="00FC10F2" w:rsidRDefault="00FC10F2" w:rsidP="00FC10F2">
      <w:pPr>
        <w:pStyle w:val="af2"/>
        <w:numPr>
          <w:ilvl w:val="0"/>
          <w:numId w:val="4"/>
        </w:numPr>
        <w:shd w:val="clear" w:color="auto" w:fill="FFFFFF"/>
        <w:adjustRightInd w:val="0"/>
        <w:jc w:val="both"/>
      </w:pPr>
      <w:r>
        <w:t>4. Kosiachenko N. M., Horkusha V. P., Kobryn V. V., Zavadska N. P. Organization and Economics of Pharmacy. 2021. 2nd edition. Kyiv: Medytsyna. – 224 p.</w:t>
      </w:r>
    </w:p>
    <w:p w:rsidR="00FC10F2" w:rsidRDefault="00FC10F2" w:rsidP="00FC10F2">
      <w:pPr>
        <w:pStyle w:val="af2"/>
        <w:numPr>
          <w:ilvl w:val="0"/>
          <w:numId w:val="4"/>
        </w:numPr>
        <w:shd w:val="clear" w:color="auto" w:fill="FFFFFF"/>
        <w:adjustRightInd w:val="0"/>
        <w:jc w:val="both"/>
      </w:pPr>
      <w:r>
        <w:t>4. Economic Code of Ukraine dated August 16, 2020, No. 436-IV. Access mode: https://zakon.rada.gov.ua/laws/show/436-15#Text.</w:t>
      </w:r>
    </w:p>
    <w:p w:rsidR="00FC10F2" w:rsidRDefault="00FC10F2" w:rsidP="00FC10F2">
      <w:pPr>
        <w:pStyle w:val="af2"/>
        <w:numPr>
          <w:ilvl w:val="0"/>
          <w:numId w:val="4"/>
        </w:numPr>
        <w:shd w:val="clear" w:color="auto" w:fill="FFFFFF"/>
        <w:adjustRightInd w:val="0"/>
        <w:jc w:val="both"/>
      </w:pPr>
      <w:r>
        <w:t>5. Law of Ukraine dated June 17, 2020, No. 996-14 “On Accounting and Financial Reporting in Ukraine”. – Access mode: https://zakon.rada.gov.ua/laws/show/996-14#Text.</w:t>
      </w:r>
    </w:p>
    <w:p w:rsidR="00FC10F2" w:rsidRDefault="00FC10F2" w:rsidP="00FC10F2">
      <w:pPr>
        <w:pStyle w:val="af2"/>
        <w:numPr>
          <w:ilvl w:val="0"/>
          <w:numId w:val="4"/>
        </w:numPr>
        <w:shd w:val="clear" w:color="auto" w:fill="FFFFFF"/>
        <w:adjustRightInd w:val="0"/>
        <w:jc w:val="both"/>
      </w:pPr>
      <w:r>
        <w:t>6. Law of Ukraine dated July 1, 2020, No. 2258-VIII “On Auditing Financial Statements and Auditing Activity”. Access mode: https://zakon.rada.gov.ua/laws/show/2258-19#Text</w:t>
      </w:r>
    </w:p>
    <w:p w:rsidR="00FC10F2" w:rsidRDefault="00FC10F2" w:rsidP="00FC10F2">
      <w:pPr>
        <w:pStyle w:val="af2"/>
        <w:numPr>
          <w:ilvl w:val="0"/>
          <w:numId w:val="4"/>
        </w:numPr>
        <w:shd w:val="clear" w:color="auto" w:fill="FFFFFF"/>
        <w:adjustRightInd w:val="0"/>
        <w:jc w:val="both"/>
      </w:pPr>
      <w:r>
        <w:t>7. Harmonization of the Public Procurement System in Ukraine with EU Standards: A Practical Guide / Nemchenko A. S., Nazarkina V. M., Popova I. A., Babenko M. M., Koba T. M. – Kharkiv: NUPh, 2023. – 90 p.</w:t>
      </w:r>
    </w:p>
    <w:p w:rsidR="007C567D" w:rsidRDefault="00FC10F2" w:rsidP="00FC10F2">
      <w:pPr>
        <w:pStyle w:val="af2"/>
        <w:numPr>
          <w:ilvl w:val="0"/>
          <w:numId w:val="4"/>
        </w:numPr>
        <w:shd w:val="clear" w:color="auto" w:fill="FFFFFF"/>
        <w:adjustRightInd w:val="0"/>
        <w:jc w:val="both"/>
      </w:pPr>
      <w:r>
        <w:t>8. State (Public) Administration in the Healthcare and Pharmacy Sector: Study Guide. – Kharkiv: NUPh, 2021. – 158 p.</w:t>
      </w:r>
    </w:p>
    <w:p w:rsidR="007C567D" w:rsidRDefault="007C567D">
      <w:pPr>
        <w:pStyle w:val="af2"/>
        <w:tabs>
          <w:tab w:val="left" w:pos="1134"/>
        </w:tabs>
        <w:autoSpaceDE w:val="0"/>
        <w:autoSpaceDN w:val="0"/>
        <w:adjustRightInd w:val="0"/>
        <w:ind w:left="0" w:firstLine="567"/>
        <w:jc w:val="center"/>
        <w:rPr>
          <w:b/>
          <w:bCs/>
          <w:color w:val="000000"/>
          <w:lang w:val="uk-UA"/>
        </w:rPr>
      </w:pPr>
    </w:p>
    <w:p w:rsidR="0014791D" w:rsidRDefault="0014791D">
      <w:pPr>
        <w:pStyle w:val="af2"/>
        <w:tabs>
          <w:tab w:val="left" w:pos="1134"/>
        </w:tabs>
        <w:autoSpaceDE w:val="0"/>
        <w:autoSpaceDN w:val="0"/>
        <w:adjustRightInd w:val="0"/>
        <w:ind w:left="0" w:firstLine="567"/>
        <w:jc w:val="center"/>
        <w:rPr>
          <w:b/>
          <w:bCs/>
          <w:color w:val="000000"/>
          <w:lang w:val="uk-UA"/>
        </w:rPr>
      </w:pPr>
      <w:r>
        <w:rPr>
          <w:noProof/>
        </w:rPr>
        <w:lastRenderedPageBreak/>
        <w:drawing>
          <wp:inline distT="0" distB="0" distL="0" distR="0" wp14:anchorId="063A73EA" wp14:editId="5F7F8A9C">
            <wp:extent cx="6480175" cy="7785100"/>
            <wp:effectExtent l="0" t="0" r="0" b="6350"/>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80175" cy="7785100"/>
                    </a:xfrm>
                    <a:prstGeom prst="rect">
                      <a:avLst/>
                    </a:prstGeom>
                    <a:noFill/>
                    <a:ln>
                      <a:noFill/>
                    </a:ln>
                  </pic:spPr>
                </pic:pic>
              </a:graphicData>
            </a:graphic>
          </wp:inline>
        </w:drawing>
      </w:r>
      <w:bookmarkStart w:id="2" w:name="_GoBack"/>
      <w:bookmarkEnd w:id="2"/>
    </w:p>
    <w:sectPr w:rsidR="0014791D">
      <w:footerReference w:type="default" r:id="rId25"/>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185" w:rsidRDefault="00F47185">
      <w:r>
        <w:separator/>
      </w:r>
    </w:p>
  </w:endnote>
  <w:endnote w:type="continuationSeparator" w:id="0">
    <w:p w:rsidR="00F47185" w:rsidRDefault="00F47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4713610"/>
    </w:sdtPr>
    <w:sdtEndPr/>
    <w:sdtContent>
      <w:p w:rsidR="007C567D" w:rsidRDefault="00B63B9E">
        <w:pPr>
          <w:pStyle w:val="a6"/>
          <w:jc w:val="right"/>
        </w:pPr>
        <w:r>
          <w:fldChar w:fldCharType="begin"/>
        </w:r>
        <w:r>
          <w:instrText xml:space="preserve"> PAGE   \* MERGEFORMAT </w:instrText>
        </w:r>
        <w:r>
          <w:fldChar w:fldCharType="separate"/>
        </w:r>
        <w: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185" w:rsidRDefault="00F47185">
      <w:r>
        <w:separator/>
      </w:r>
    </w:p>
  </w:footnote>
  <w:footnote w:type="continuationSeparator" w:id="0">
    <w:p w:rsidR="00F47185" w:rsidRDefault="00F47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C179"/>
    <w:multiLevelType w:val="multilevel"/>
    <w:tmpl w:val="0248C179"/>
    <w:lvl w:ilvl="0">
      <w:start w:val="1"/>
      <w:numFmt w:val="decimal"/>
      <w:lvlText w:val="%1."/>
      <w:lvlJc w:val="left"/>
      <w:pPr>
        <w:tabs>
          <w:tab w:val="left" w:pos="0"/>
        </w:tabs>
        <w:ind w:left="720" w:hanging="360"/>
      </w:pPr>
      <w:rPr>
        <w:b w:val="0"/>
        <w:color w:val="000000"/>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1" w15:restartNumberingAfterBreak="0">
    <w:nsid w:val="0B212D3F"/>
    <w:multiLevelType w:val="multilevel"/>
    <w:tmpl w:val="0B212D3F"/>
    <w:lvl w:ilvl="0">
      <w:start w:val="1"/>
      <w:numFmt w:val="bullet"/>
      <w:lvlText w:val=""/>
      <w:lvlJc w:val="left"/>
      <w:pPr>
        <w:ind w:left="1472" w:hanging="360"/>
      </w:pPr>
      <w:rPr>
        <w:rFonts w:ascii="Symbol" w:hAnsi="Symbol" w:hint="default"/>
      </w:rPr>
    </w:lvl>
    <w:lvl w:ilvl="1">
      <w:start w:val="1"/>
      <w:numFmt w:val="bullet"/>
      <w:lvlText w:val="o"/>
      <w:lvlJc w:val="left"/>
      <w:pPr>
        <w:ind w:left="2192" w:hanging="360"/>
      </w:pPr>
      <w:rPr>
        <w:rFonts w:ascii="Courier New" w:hAnsi="Courier New" w:cs="Courier New" w:hint="default"/>
      </w:rPr>
    </w:lvl>
    <w:lvl w:ilvl="2">
      <w:start w:val="1"/>
      <w:numFmt w:val="bullet"/>
      <w:lvlText w:val=""/>
      <w:lvlJc w:val="left"/>
      <w:pPr>
        <w:ind w:left="2912" w:hanging="360"/>
      </w:pPr>
      <w:rPr>
        <w:rFonts w:ascii="Wingdings" w:hAnsi="Wingdings" w:hint="default"/>
      </w:rPr>
    </w:lvl>
    <w:lvl w:ilvl="3">
      <w:start w:val="1"/>
      <w:numFmt w:val="bullet"/>
      <w:lvlText w:val=""/>
      <w:lvlJc w:val="left"/>
      <w:pPr>
        <w:ind w:left="3632" w:hanging="360"/>
      </w:pPr>
      <w:rPr>
        <w:rFonts w:ascii="Symbol" w:hAnsi="Symbol" w:hint="default"/>
      </w:rPr>
    </w:lvl>
    <w:lvl w:ilvl="4">
      <w:start w:val="1"/>
      <w:numFmt w:val="bullet"/>
      <w:lvlText w:val="o"/>
      <w:lvlJc w:val="left"/>
      <w:pPr>
        <w:ind w:left="4352" w:hanging="360"/>
      </w:pPr>
      <w:rPr>
        <w:rFonts w:ascii="Courier New" w:hAnsi="Courier New" w:cs="Courier New" w:hint="default"/>
      </w:rPr>
    </w:lvl>
    <w:lvl w:ilvl="5">
      <w:start w:val="1"/>
      <w:numFmt w:val="bullet"/>
      <w:lvlText w:val=""/>
      <w:lvlJc w:val="left"/>
      <w:pPr>
        <w:ind w:left="5072" w:hanging="360"/>
      </w:pPr>
      <w:rPr>
        <w:rFonts w:ascii="Wingdings" w:hAnsi="Wingdings" w:hint="default"/>
      </w:rPr>
    </w:lvl>
    <w:lvl w:ilvl="6">
      <w:start w:val="1"/>
      <w:numFmt w:val="bullet"/>
      <w:lvlText w:val=""/>
      <w:lvlJc w:val="left"/>
      <w:pPr>
        <w:ind w:left="5792" w:hanging="360"/>
      </w:pPr>
      <w:rPr>
        <w:rFonts w:ascii="Symbol" w:hAnsi="Symbol" w:hint="default"/>
      </w:rPr>
    </w:lvl>
    <w:lvl w:ilvl="7">
      <w:start w:val="1"/>
      <w:numFmt w:val="bullet"/>
      <w:lvlText w:val="o"/>
      <w:lvlJc w:val="left"/>
      <w:pPr>
        <w:ind w:left="6512" w:hanging="360"/>
      </w:pPr>
      <w:rPr>
        <w:rFonts w:ascii="Courier New" w:hAnsi="Courier New" w:cs="Courier New" w:hint="default"/>
      </w:rPr>
    </w:lvl>
    <w:lvl w:ilvl="8">
      <w:start w:val="1"/>
      <w:numFmt w:val="bullet"/>
      <w:lvlText w:val=""/>
      <w:lvlJc w:val="left"/>
      <w:pPr>
        <w:ind w:left="7232" w:hanging="360"/>
      </w:pPr>
      <w:rPr>
        <w:rFonts w:ascii="Wingdings" w:hAnsi="Wingdings" w:hint="default"/>
      </w:rPr>
    </w:lvl>
  </w:abstractNum>
  <w:abstractNum w:abstractNumId="2" w15:restartNumberingAfterBreak="0">
    <w:nsid w:val="1D101749"/>
    <w:multiLevelType w:val="multilevel"/>
    <w:tmpl w:val="1D101749"/>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2960B20"/>
    <w:multiLevelType w:val="multilevel"/>
    <w:tmpl w:val="22960B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1C236E"/>
    <w:multiLevelType w:val="multilevel"/>
    <w:tmpl w:val="401C236E"/>
    <w:lvl w:ilvl="0">
      <w:start w:val="1"/>
      <w:numFmt w:val="bullet"/>
      <w:lvlText w:val=""/>
      <w:lvlJc w:val="left"/>
      <w:pPr>
        <w:ind w:left="797" w:hanging="360"/>
      </w:pPr>
      <w:rPr>
        <w:rFonts w:ascii="Symbol" w:hAnsi="Symbol" w:hint="default"/>
      </w:rPr>
    </w:lvl>
    <w:lvl w:ilvl="1">
      <w:start w:val="1"/>
      <w:numFmt w:val="bullet"/>
      <w:lvlText w:val="o"/>
      <w:lvlJc w:val="left"/>
      <w:pPr>
        <w:ind w:left="1517" w:hanging="360"/>
      </w:pPr>
      <w:rPr>
        <w:rFonts w:ascii="Courier New" w:hAnsi="Courier New" w:cs="Courier New" w:hint="default"/>
      </w:rPr>
    </w:lvl>
    <w:lvl w:ilvl="2">
      <w:start w:val="1"/>
      <w:numFmt w:val="bullet"/>
      <w:lvlText w:val=""/>
      <w:lvlJc w:val="left"/>
      <w:pPr>
        <w:ind w:left="2237" w:hanging="360"/>
      </w:pPr>
      <w:rPr>
        <w:rFonts w:ascii="Wingdings" w:hAnsi="Wingdings" w:hint="default"/>
      </w:rPr>
    </w:lvl>
    <w:lvl w:ilvl="3">
      <w:start w:val="1"/>
      <w:numFmt w:val="bullet"/>
      <w:lvlText w:val=""/>
      <w:lvlJc w:val="left"/>
      <w:pPr>
        <w:ind w:left="2957" w:hanging="360"/>
      </w:pPr>
      <w:rPr>
        <w:rFonts w:ascii="Symbol" w:hAnsi="Symbol" w:hint="default"/>
      </w:rPr>
    </w:lvl>
    <w:lvl w:ilvl="4">
      <w:start w:val="1"/>
      <w:numFmt w:val="bullet"/>
      <w:lvlText w:val="o"/>
      <w:lvlJc w:val="left"/>
      <w:pPr>
        <w:ind w:left="3677" w:hanging="360"/>
      </w:pPr>
      <w:rPr>
        <w:rFonts w:ascii="Courier New" w:hAnsi="Courier New" w:cs="Courier New" w:hint="default"/>
      </w:rPr>
    </w:lvl>
    <w:lvl w:ilvl="5">
      <w:start w:val="1"/>
      <w:numFmt w:val="bullet"/>
      <w:lvlText w:val=""/>
      <w:lvlJc w:val="left"/>
      <w:pPr>
        <w:ind w:left="4397" w:hanging="360"/>
      </w:pPr>
      <w:rPr>
        <w:rFonts w:ascii="Wingdings" w:hAnsi="Wingdings" w:hint="default"/>
      </w:rPr>
    </w:lvl>
    <w:lvl w:ilvl="6">
      <w:start w:val="1"/>
      <w:numFmt w:val="bullet"/>
      <w:lvlText w:val=""/>
      <w:lvlJc w:val="left"/>
      <w:pPr>
        <w:ind w:left="5117" w:hanging="360"/>
      </w:pPr>
      <w:rPr>
        <w:rFonts w:ascii="Symbol" w:hAnsi="Symbol" w:hint="default"/>
      </w:rPr>
    </w:lvl>
    <w:lvl w:ilvl="7">
      <w:start w:val="1"/>
      <w:numFmt w:val="bullet"/>
      <w:lvlText w:val="o"/>
      <w:lvlJc w:val="left"/>
      <w:pPr>
        <w:ind w:left="5837" w:hanging="360"/>
      </w:pPr>
      <w:rPr>
        <w:rFonts w:ascii="Courier New" w:hAnsi="Courier New" w:cs="Courier New" w:hint="default"/>
      </w:rPr>
    </w:lvl>
    <w:lvl w:ilvl="8">
      <w:start w:val="1"/>
      <w:numFmt w:val="bullet"/>
      <w:lvlText w:val=""/>
      <w:lvlJc w:val="left"/>
      <w:pPr>
        <w:ind w:left="6557" w:hanging="360"/>
      </w:pPr>
      <w:rPr>
        <w:rFonts w:ascii="Wingdings" w:hAnsi="Wingdings" w:hint="default"/>
      </w:rPr>
    </w:lvl>
  </w:abstractNum>
  <w:abstractNum w:abstractNumId="5" w15:restartNumberingAfterBreak="0">
    <w:nsid w:val="50E119FA"/>
    <w:multiLevelType w:val="multilevel"/>
    <w:tmpl w:val="50E119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C5FD952"/>
    <w:multiLevelType w:val="multilevel"/>
    <w:tmpl w:val="5C5FD9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5"/>
  </w:num>
  <w:num w:numId="3">
    <w:abstractNumId w:val="4"/>
  </w:num>
  <w:num w:numId="4">
    <w:abstractNumId w:val="3"/>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0F"/>
    <w:rsid w:val="000064D9"/>
    <w:rsid w:val="000239A1"/>
    <w:rsid w:val="0003244E"/>
    <w:rsid w:val="00060766"/>
    <w:rsid w:val="0007088E"/>
    <w:rsid w:val="000837A4"/>
    <w:rsid w:val="000B467C"/>
    <w:rsid w:val="000B7AB6"/>
    <w:rsid w:val="000C660C"/>
    <w:rsid w:val="001071BE"/>
    <w:rsid w:val="00110F82"/>
    <w:rsid w:val="001379D8"/>
    <w:rsid w:val="00145586"/>
    <w:rsid w:val="0014791D"/>
    <w:rsid w:val="00153A35"/>
    <w:rsid w:val="001956C6"/>
    <w:rsid w:val="001B1F55"/>
    <w:rsid w:val="001C5DE3"/>
    <w:rsid w:val="001D0231"/>
    <w:rsid w:val="001D377B"/>
    <w:rsid w:val="001D3D30"/>
    <w:rsid w:val="001D3F31"/>
    <w:rsid w:val="001E2ECB"/>
    <w:rsid w:val="00207D6A"/>
    <w:rsid w:val="00233B24"/>
    <w:rsid w:val="00251332"/>
    <w:rsid w:val="00253B72"/>
    <w:rsid w:val="00254696"/>
    <w:rsid w:val="002826C6"/>
    <w:rsid w:val="00297E78"/>
    <w:rsid w:val="002B6605"/>
    <w:rsid w:val="002E4A35"/>
    <w:rsid w:val="00300584"/>
    <w:rsid w:val="00320B8B"/>
    <w:rsid w:val="00334143"/>
    <w:rsid w:val="003562E5"/>
    <w:rsid w:val="00361B36"/>
    <w:rsid w:val="00375D0C"/>
    <w:rsid w:val="00381789"/>
    <w:rsid w:val="00393354"/>
    <w:rsid w:val="003C25FF"/>
    <w:rsid w:val="003E15CC"/>
    <w:rsid w:val="003F2775"/>
    <w:rsid w:val="00406AD7"/>
    <w:rsid w:val="00421D87"/>
    <w:rsid w:val="00434CB4"/>
    <w:rsid w:val="004424BC"/>
    <w:rsid w:val="00471FCD"/>
    <w:rsid w:val="00474035"/>
    <w:rsid w:val="00481527"/>
    <w:rsid w:val="004B79DF"/>
    <w:rsid w:val="004C34D8"/>
    <w:rsid w:val="004E65A5"/>
    <w:rsid w:val="00514A09"/>
    <w:rsid w:val="00522887"/>
    <w:rsid w:val="005510AB"/>
    <w:rsid w:val="0055305C"/>
    <w:rsid w:val="0056632A"/>
    <w:rsid w:val="00566AE8"/>
    <w:rsid w:val="00573A69"/>
    <w:rsid w:val="00573FFE"/>
    <w:rsid w:val="005C7379"/>
    <w:rsid w:val="005C7C59"/>
    <w:rsid w:val="005D7898"/>
    <w:rsid w:val="005E2164"/>
    <w:rsid w:val="005E4D80"/>
    <w:rsid w:val="005E6157"/>
    <w:rsid w:val="005F242E"/>
    <w:rsid w:val="00601E7E"/>
    <w:rsid w:val="00604BB0"/>
    <w:rsid w:val="00612472"/>
    <w:rsid w:val="00613694"/>
    <w:rsid w:val="00621E3B"/>
    <w:rsid w:val="00632F11"/>
    <w:rsid w:val="00666757"/>
    <w:rsid w:val="006B7F99"/>
    <w:rsid w:val="006C148A"/>
    <w:rsid w:val="006E0A78"/>
    <w:rsid w:val="006E0E45"/>
    <w:rsid w:val="006E56EE"/>
    <w:rsid w:val="00713D30"/>
    <w:rsid w:val="007244ED"/>
    <w:rsid w:val="0077678B"/>
    <w:rsid w:val="00790EE3"/>
    <w:rsid w:val="00795732"/>
    <w:rsid w:val="007A4207"/>
    <w:rsid w:val="007C567D"/>
    <w:rsid w:val="007E0808"/>
    <w:rsid w:val="007E43A6"/>
    <w:rsid w:val="007E5499"/>
    <w:rsid w:val="007E61BE"/>
    <w:rsid w:val="008355DB"/>
    <w:rsid w:val="008501E8"/>
    <w:rsid w:val="0086190C"/>
    <w:rsid w:val="00863AAE"/>
    <w:rsid w:val="00865726"/>
    <w:rsid w:val="00865F0F"/>
    <w:rsid w:val="008F31EB"/>
    <w:rsid w:val="00905F91"/>
    <w:rsid w:val="0091590C"/>
    <w:rsid w:val="00917DCF"/>
    <w:rsid w:val="00925E07"/>
    <w:rsid w:val="00942DAA"/>
    <w:rsid w:val="00964407"/>
    <w:rsid w:val="00967105"/>
    <w:rsid w:val="0098763F"/>
    <w:rsid w:val="009916A1"/>
    <w:rsid w:val="00A06765"/>
    <w:rsid w:val="00A07A8B"/>
    <w:rsid w:val="00A37357"/>
    <w:rsid w:val="00A54E7E"/>
    <w:rsid w:val="00A552CA"/>
    <w:rsid w:val="00A665E8"/>
    <w:rsid w:val="00A66D73"/>
    <w:rsid w:val="00A864C3"/>
    <w:rsid w:val="00AA1F17"/>
    <w:rsid w:val="00AB2E68"/>
    <w:rsid w:val="00AC6895"/>
    <w:rsid w:val="00AF662C"/>
    <w:rsid w:val="00B40ECB"/>
    <w:rsid w:val="00B53439"/>
    <w:rsid w:val="00B62D5E"/>
    <w:rsid w:val="00B63B9E"/>
    <w:rsid w:val="00B76D01"/>
    <w:rsid w:val="00B84893"/>
    <w:rsid w:val="00B969B1"/>
    <w:rsid w:val="00BC02F2"/>
    <w:rsid w:val="00C43B36"/>
    <w:rsid w:val="00C46724"/>
    <w:rsid w:val="00C56ADF"/>
    <w:rsid w:val="00C57560"/>
    <w:rsid w:val="00C70554"/>
    <w:rsid w:val="00C8279C"/>
    <w:rsid w:val="00C94296"/>
    <w:rsid w:val="00CB7251"/>
    <w:rsid w:val="00CD5CAA"/>
    <w:rsid w:val="00CF2A70"/>
    <w:rsid w:val="00D006E6"/>
    <w:rsid w:val="00D05152"/>
    <w:rsid w:val="00D07162"/>
    <w:rsid w:val="00D53014"/>
    <w:rsid w:val="00D75BAC"/>
    <w:rsid w:val="00D824D6"/>
    <w:rsid w:val="00DA1185"/>
    <w:rsid w:val="00DD07A6"/>
    <w:rsid w:val="00DD1FE4"/>
    <w:rsid w:val="00DD49CB"/>
    <w:rsid w:val="00DD678A"/>
    <w:rsid w:val="00E158DF"/>
    <w:rsid w:val="00E40B31"/>
    <w:rsid w:val="00E44947"/>
    <w:rsid w:val="00E80926"/>
    <w:rsid w:val="00ED063D"/>
    <w:rsid w:val="00ED227E"/>
    <w:rsid w:val="00ED7A41"/>
    <w:rsid w:val="00F071EF"/>
    <w:rsid w:val="00F40A1C"/>
    <w:rsid w:val="00F427C9"/>
    <w:rsid w:val="00F47185"/>
    <w:rsid w:val="00F54B1C"/>
    <w:rsid w:val="00F6118D"/>
    <w:rsid w:val="00F96EDD"/>
    <w:rsid w:val="00FC10F2"/>
    <w:rsid w:val="00FC54C2"/>
    <w:rsid w:val="00FF1955"/>
    <w:rsid w:val="00FF75C2"/>
    <w:rsid w:val="097E64E2"/>
    <w:rsid w:val="0A295EB9"/>
    <w:rsid w:val="0D0A1775"/>
    <w:rsid w:val="12697E14"/>
    <w:rsid w:val="129B16E6"/>
    <w:rsid w:val="15112621"/>
    <w:rsid w:val="160A4336"/>
    <w:rsid w:val="1AF14B43"/>
    <w:rsid w:val="1EAD7DE2"/>
    <w:rsid w:val="24844675"/>
    <w:rsid w:val="291F6AA8"/>
    <w:rsid w:val="2CA22818"/>
    <w:rsid w:val="35D20381"/>
    <w:rsid w:val="395E17DA"/>
    <w:rsid w:val="42452DEA"/>
    <w:rsid w:val="477B0F3F"/>
    <w:rsid w:val="49DF43A7"/>
    <w:rsid w:val="4A9B5453"/>
    <w:rsid w:val="51F4195F"/>
    <w:rsid w:val="5A264328"/>
    <w:rsid w:val="5A7622F9"/>
    <w:rsid w:val="61525315"/>
    <w:rsid w:val="62865F35"/>
    <w:rsid w:val="67DC3DF5"/>
    <w:rsid w:val="6A083105"/>
    <w:rsid w:val="79055F9C"/>
    <w:rsid w:val="7C6678A7"/>
    <w:rsid w:val="7FE035A2"/>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D5F0FFB"/>
  <w15:docId w15:val="{C0131ABE-7563-4766-932F-441A5D861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imes New Roman"/>
      <w:sz w:val="24"/>
      <w:szCs w:val="24"/>
      <w:lang w:val="ru-RU" w:eastAsia="ru-RU"/>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pPr>
      <w:keepNext/>
      <w:jc w:val="center"/>
      <w:outlineLvl w:val="3"/>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pPr>
      <w:spacing w:after="120"/>
    </w:pPr>
    <w:rPr>
      <w:sz w:val="28"/>
    </w:rPr>
  </w:style>
  <w:style w:type="paragraph" w:styleId="31">
    <w:name w:val="Body Text 3"/>
    <w:basedOn w:val="a"/>
    <w:link w:val="32"/>
    <w:uiPriority w:val="99"/>
    <w:semiHidden/>
    <w:unhideWhenUsed/>
    <w:qFormat/>
    <w:pPr>
      <w:spacing w:after="120"/>
    </w:pPr>
    <w:rPr>
      <w:sz w:val="16"/>
      <w:szCs w:val="16"/>
    </w:rPr>
  </w:style>
  <w:style w:type="paragraph" w:styleId="21">
    <w:name w:val="Body Text Indent 2"/>
    <w:basedOn w:val="a"/>
    <w:link w:val="22"/>
    <w:uiPriority w:val="99"/>
    <w:unhideWhenUsed/>
    <w:qFormat/>
    <w:pPr>
      <w:spacing w:after="120" w:line="480" w:lineRule="auto"/>
      <w:ind w:left="283"/>
    </w:pPr>
    <w:rPr>
      <w:rFonts w:ascii="Calibri" w:eastAsia="Calibri" w:hAnsi="Calibri"/>
      <w:sz w:val="22"/>
      <w:szCs w:val="22"/>
      <w:lang w:val="uk-UA" w:eastAsia="en-US"/>
    </w:rPr>
  </w:style>
  <w:style w:type="character" w:styleId="a5">
    <w:name w:val="FollowedHyperlink"/>
    <w:basedOn w:val="a0"/>
    <w:uiPriority w:val="99"/>
    <w:semiHidden/>
    <w:unhideWhenUsed/>
    <w:qFormat/>
    <w:rPr>
      <w:color w:val="800080" w:themeColor="followedHyperlink"/>
      <w:u w:val="single"/>
    </w:rPr>
  </w:style>
  <w:style w:type="paragraph" w:styleId="a6">
    <w:name w:val="footer"/>
    <w:basedOn w:val="a"/>
    <w:link w:val="a7"/>
    <w:uiPriority w:val="99"/>
    <w:qFormat/>
    <w:pPr>
      <w:tabs>
        <w:tab w:val="center" w:pos="4677"/>
        <w:tab w:val="right" w:pos="9355"/>
      </w:tabs>
    </w:pPr>
    <w:rPr>
      <w:sz w:val="28"/>
    </w:rPr>
  </w:style>
  <w:style w:type="paragraph" w:styleId="a8">
    <w:name w:val="header"/>
    <w:basedOn w:val="a"/>
    <w:link w:val="a9"/>
    <w:uiPriority w:val="99"/>
    <w:semiHidden/>
    <w:unhideWhenUsed/>
    <w:qFormat/>
    <w:pPr>
      <w:tabs>
        <w:tab w:val="center" w:pos="4677"/>
        <w:tab w:val="right" w:pos="9355"/>
      </w:tabs>
    </w:pPr>
  </w:style>
  <w:style w:type="character" w:styleId="HTML">
    <w:name w:val="HTML Cite"/>
    <w:unhideWhenUsed/>
    <w:qFormat/>
    <w:rPr>
      <w:color w:val="009933"/>
    </w:rPr>
  </w:style>
  <w:style w:type="character" w:styleId="aa">
    <w:name w:val="Hyperlink"/>
    <w:basedOn w:val="a0"/>
    <w:uiPriority w:val="99"/>
    <w:unhideWhenUsed/>
    <w:qFormat/>
    <w:rPr>
      <w:color w:val="0000FF"/>
      <w:u w:val="single"/>
    </w:rPr>
  </w:style>
  <w:style w:type="paragraph" w:styleId="ab">
    <w:name w:val="Normal (Web)"/>
    <w:basedOn w:val="a"/>
    <w:uiPriority w:val="99"/>
    <w:unhideWhenUsed/>
    <w:qFormat/>
    <w:pPr>
      <w:spacing w:before="100" w:beforeAutospacing="1" w:after="100" w:afterAutospacing="1"/>
    </w:pPr>
  </w:style>
  <w:style w:type="paragraph" w:styleId="ac">
    <w:name w:val="Plain Text"/>
    <w:basedOn w:val="a"/>
    <w:link w:val="ad"/>
    <w:uiPriority w:val="99"/>
    <w:qFormat/>
    <w:rPr>
      <w:rFonts w:ascii="Courier New" w:hAnsi="Courier New"/>
      <w:sz w:val="20"/>
      <w:szCs w:val="20"/>
      <w:lang w:val="uk-UA"/>
    </w:rPr>
  </w:style>
  <w:style w:type="character" w:styleId="ae">
    <w:name w:val="Strong"/>
    <w:basedOn w:val="a0"/>
    <w:uiPriority w:val="22"/>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itle"/>
    <w:basedOn w:val="a"/>
    <w:link w:val="af1"/>
    <w:qFormat/>
    <w:pPr>
      <w:jc w:val="center"/>
    </w:pPr>
    <w:rPr>
      <w:b/>
      <w:bCs/>
      <w:sz w:val="28"/>
      <w:szCs w:val="28"/>
      <w:lang w:val="en-US" w:eastAsia="en-US"/>
    </w:rPr>
  </w:style>
  <w:style w:type="character" w:customStyle="1" w:styleId="20">
    <w:name w:val="Заголовок 2 Знак"/>
    <w:basedOn w:val="a0"/>
    <w:link w:val="2"/>
    <w:qFormat/>
    <w:rPr>
      <w:rFonts w:ascii="Arial" w:eastAsia="Times New Roman" w:hAnsi="Arial" w:cs="Arial"/>
      <w:b/>
      <w:bCs/>
      <w:i/>
      <w:iCs/>
      <w:sz w:val="28"/>
      <w:szCs w:val="28"/>
      <w:lang w:eastAsia="ru-RU"/>
    </w:rPr>
  </w:style>
  <w:style w:type="character" w:customStyle="1" w:styleId="40">
    <w:name w:val="Заголовок 4 Знак"/>
    <w:basedOn w:val="a0"/>
    <w:link w:val="4"/>
    <w:qFormat/>
    <w:rPr>
      <w:rFonts w:ascii="Times New Roman" w:eastAsia="Times New Roman" w:hAnsi="Times New Roman" w:cs="Times New Roman"/>
      <w:b/>
      <w:bCs/>
      <w:sz w:val="28"/>
      <w:szCs w:val="24"/>
      <w:lang w:val="uk-UA" w:eastAsia="ru-RU"/>
    </w:rPr>
  </w:style>
  <w:style w:type="paragraph" w:styleId="af2">
    <w:name w:val="List Paragraph"/>
    <w:basedOn w:val="a"/>
    <w:uiPriority w:val="34"/>
    <w:qFormat/>
    <w:pPr>
      <w:ind w:left="720"/>
      <w:contextualSpacing/>
    </w:pPr>
  </w:style>
  <w:style w:type="character" w:customStyle="1" w:styleId="a7">
    <w:name w:val="Нижній колонтитул Знак"/>
    <w:basedOn w:val="a0"/>
    <w:link w:val="a6"/>
    <w:uiPriority w:val="99"/>
    <w:qFormat/>
    <w:rPr>
      <w:rFonts w:ascii="Times New Roman" w:eastAsia="Times New Roman" w:hAnsi="Times New Roman" w:cs="Times New Roman"/>
      <w:sz w:val="28"/>
      <w:szCs w:val="24"/>
      <w:lang w:eastAsia="ru-RU"/>
    </w:rPr>
  </w:style>
  <w:style w:type="paragraph" w:customStyle="1" w:styleId="FR2">
    <w:name w:val="FR2"/>
    <w:qFormat/>
    <w:pPr>
      <w:widowControl w:val="0"/>
      <w:autoSpaceDE w:val="0"/>
      <w:autoSpaceDN w:val="0"/>
      <w:adjustRightInd w:val="0"/>
      <w:spacing w:before="220"/>
      <w:ind w:left="40" w:hanging="20"/>
    </w:pPr>
    <w:rPr>
      <w:rFonts w:ascii="Arial" w:eastAsia="Times New Roman" w:hAnsi="Arial" w:cs="Arial"/>
      <w:sz w:val="18"/>
      <w:szCs w:val="18"/>
    </w:rPr>
  </w:style>
  <w:style w:type="paragraph" w:customStyle="1" w:styleId="1">
    <w:name w:val="Обычный1"/>
    <w:qFormat/>
    <w:pPr>
      <w:widowControl w:val="0"/>
      <w:spacing w:line="260" w:lineRule="auto"/>
      <w:ind w:left="360" w:hanging="340"/>
    </w:pPr>
    <w:rPr>
      <w:rFonts w:eastAsia="Times New Roman"/>
      <w:snapToGrid w:val="0"/>
      <w:sz w:val="22"/>
      <w:lang w:eastAsia="ru-RU"/>
    </w:rPr>
  </w:style>
  <w:style w:type="character" w:customStyle="1" w:styleId="a4">
    <w:name w:val="Основний текст Знак"/>
    <w:basedOn w:val="a0"/>
    <w:link w:val="a3"/>
    <w:qFormat/>
    <w:rPr>
      <w:rFonts w:ascii="Times New Roman" w:eastAsia="Times New Roman" w:hAnsi="Times New Roman" w:cs="Times New Roman"/>
      <w:sz w:val="28"/>
      <w:szCs w:val="24"/>
      <w:lang w:eastAsia="ru-RU"/>
    </w:rPr>
  </w:style>
  <w:style w:type="paragraph" w:customStyle="1" w:styleId="TableParagraph">
    <w:name w:val="Table Paragraph"/>
    <w:basedOn w:val="a"/>
    <w:uiPriority w:val="99"/>
    <w:qFormat/>
    <w:pPr>
      <w:widowControl w:val="0"/>
      <w:autoSpaceDE w:val="0"/>
      <w:autoSpaceDN w:val="0"/>
    </w:pPr>
    <w:rPr>
      <w:sz w:val="22"/>
      <w:szCs w:val="22"/>
      <w:lang w:val="uk-UA" w:eastAsia="uk-UA"/>
    </w:rPr>
  </w:style>
  <w:style w:type="character" w:customStyle="1" w:styleId="FontStyle57">
    <w:name w:val="Font Style57"/>
    <w:qFormat/>
    <w:rPr>
      <w:rFonts w:ascii="Times New Roman" w:hAnsi="Times New Roman" w:cs="Times New Roman"/>
      <w:sz w:val="22"/>
      <w:szCs w:val="22"/>
    </w:rPr>
  </w:style>
  <w:style w:type="paragraph" w:customStyle="1" w:styleId="Style30">
    <w:name w:val="Style30"/>
    <w:basedOn w:val="a"/>
    <w:qFormat/>
    <w:pPr>
      <w:widowControl w:val="0"/>
      <w:autoSpaceDE w:val="0"/>
      <w:autoSpaceDN w:val="0"/>
      <w:adjustRightInd w:val="0"/>
      <w:spacing w:line="274" w:lineRule="exact"/>
      <w:ind w:hanging="350"/>
      <w:jc w:val="both"/>
    </w:pPr>
  </w:style>
  <w:style w:type="character" w:customStyle="1" w:styleId="32">
    <w:name w:val="Основний текст 3 Знак"/>
    <w:basedOn w:val="a0"/>
    <w:link w:val="31"/>
    <w:uiPriority w:val="99"/>
    <w:semiHidden/>
    <w:qFormat/>
    <w:rPr>
      <w:rFonts w:ascii="Times New Roman" w:eastAsia="Times New Roman" w:hAnsi="Times New Roman" w:cs="Times New Roman"/>
      <w:sz w:val="16"/>
      <w:szCs w:val="16"/>
      <w:lang w:eastAsia="ru-RU"/>
    </w:rPr>
  </w:style>
  <w:style w:type="character" w:customStyle="1" w:styleId="af1">
    <w:name w:val="Назва Знак"/>
    <w:basedOn w:val="a0"/>
    <w:link w:val="af0"/>
    <w:qFormat/>
    <w:rPr>
      <w:rFonts w:ascii="Times New Roman" w:eastAsia="Times New Roman" w:hAnsi="Times New Roman" w:cs="Times New Roman"/>
      <w:b/>
      <w:bCs/>
      <w:sz w:val="28"/>
      <w:szCs w:val="28"/>
      <w:lang w:val="en-US"/>
    </w:rPr>
  </w:style>
  <w:style w:type="character" w:customStyle="1" w:styleId="22">
    <w:name w:val="Основний текст з відступом 2 Знак"/>
    <w:basedOn w:val="a0"/>
    <w:link w:val="21"/>
    <w:uiPriority w:val="99"/>
    <w:qFormat/>
    <w:rPr>
      <w:rFonts w:ascii="Calibri" w:eastAsia="Calibri" w:hAnsi="Calibri" w:cs="Times New Roman"/>
      <w:lang w:val="uk-UA"/>
    </w:rPr>
  </w:style>
  <w:style w:type="character" w:customStyle="1" w:styleId="a9">
    <w:name w:val="Верхній колонтитул Знак"/>
    <w:basedOn w:val="a0"/>
    <w:link w:val="a8"/>
    <w:uiPriority w:val="99"/>
    <w:semiHidden/>
    <w:qFormat/>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qFormat/>
    <w:rPr>
      <w:rFonts w:asciiTheme="majorHAnsi" w:eastAsiaTheme="majorEastAsia" w:hAnsiTheme="majorHAnsi" w:cstheme="majorBidi"/>
      <w:b/>
      <w:bCs/>
      <w:color w:val="4F81BD" w:themeColor="accent1"/>
      <w:sz w:val="24"/>
      <w:szCs w:val="24"/>
      <w:lang w:eastAsia="ru-RU"/>
    </w:rPr>
  </w:style>
  <w:style w:type="character" w:customStyle="1" w:styleId="markedcontent">
    <w:name w:val="markedcontent"/>
    <w:basedOn w:val="a0"/>
    <w:qFormat/>
  </w:style>
  <w:style w:type="character" w:customStyle="1" w:styleId="ad">
    <w:name w:val="Текст Знак"/>
    <w:basedOn w:val="a0"/>
    <w:link w:val="ac"/>
    <w:uiPriority w:val="99"/>
    <w:qFormat/>
    <w:rPr>
      <w:rFonts w:ascii="Courier New" w:eastAsia="Times New Roman" w:hAnsi="Courier New" w:cs="Times New Roman"/>
      <w:sz w:val="20"/>
      <w:szCs w:val="20"/>
      <w:lang w:val="uk-UA" w:eastAsia="ru-RU"/>
    </w:rPr>
  </w:style>
  <w:style w:type="paragraph" w:customStyle="1" w:styleId="23">
    <w:name w:val="Абзац списка2"/>
    <w:basedOn w:val="a"/>
    <w:qFormat/>
    <w:pPr>
      <w:spacing w:after="200" w:line="276" w:lineRule="auto"/>
      <w:ind w:left="720"/>
    </w:pPr>
    <w:rPr>
      <w:rFonts w:ascii="Calibri" w:hAnsi="Calibri"/>
      <w:sz w:val="22"/>
      <w:szCs w:val="22"/>
      <w:lang w:val="uk-UA" w:eastAsia="en-US"/>
    </w:rPr>
  </w:style>
  <w:style w:type="character" w:customStyle="1" w:styleId="apple-converted-space">
    <w:name w:val="apple-converted-space"/>
    <w:basedOn w:val="a0"/>
    <w:qFormat/>
  </w:style>
  <w:style w:type="character" w:customStyle="1" w:styleId="rvts23">
    <w:name w:val="rvts23"/>
    <w:basedOn w:val="a0"/>
    <w:qFormat/>
  </w:style>
  <w:style w:type="paragraph" w:customStyle="1" w:styleId="af3">
    <w:name w:val="Абзац списка"/>
    <w:basedOn w:val="a"/>
    <w:qFormat/>
    <w:rsid w:val="00F6118D"/>
    <w:pPr>
      <w:suppressAutoHyphens/>
      <w:spacing w:after="160" w:line="257" w:lineRule="auto"/>
      <w:ind w:left="720"/>
      <w:contextualSpacing/>
    </w:pPr>
    <w:rPr>
      <w:rFonts w:eastAsia="SimSun"/>
      <w:sz w:val="22"/>
      <w:szCs w:val="22"/>
      <w:lang w:val="uk-UA" w:eastAsia="en-US"/>
    </w:rPr>
  </w:style>
  <w:style w:type="character" w:styleId="af4">
    <w:name w:val="Unresolved Mention"/>
    <w:basedOn w:val="a0"/>
    <w:uiPriority w:val="99"/>
    <w:semiHidden/>
    <w:unhideWhenUsed/>
    <w:rsid w:val="00C82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pharmacy@vnmu.edu.ua" TargetMode="External"/><Relationship Id="rId13" Type="http://schemas.openxmlformats.org/officeDocument/2006/relationships/hyperlink" Target="https://www.vnmu.edu.ua/downloads/other/kodex_akad_dobr_edit%202026.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vnmu.edu.ua/?utm_source=chatgpt.com" TargetMode="External"/><Relationship Id="rId7" Type="http://schemas.openxmlformats.org/officeDocument/2006/relationships/image" Target="media/image1.jpeg"/><Relationship Id="rId12" Type="http://schemas.openxmlformats.org/officeDocument/2006/relationships/hyperlink" Target="https://www.vnmu.edu.ua/downloads/other/pologPhD_org.pdf" TargetMode="External"/><Relationship Id="rId17" Type="http://schemas.openxmlformats.org/officeDocument/2006/relationships/hyperlink" Target="https://www.vnmu.edu.ua/downloads/other/polog_organiz_ocv_proc(2026).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vnmu.edu.ua/?utm_source=chatgpt.com" TargetMode="External"/><Relationship Id="rId20" Type="http://schemas.openxmlformats.org/officeDocument/2006/relationships/hyperlink" Target="https://www.vnmu.edu.ua/?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www.vnmu.edu.ua/downloads/other/polog_organiz_ocv_proc(2026).pdf" TargetMode="External"/><Relationship Id="rId23" Type="http://schemas.openxmlformats.org/officeDocument/2006/relationships/hyperlink" Target="https://www.vnmu.edu.ua/?utm_source=chatgpt.com" TargetMode="External"/><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downloads/other/polog_organiz_ocv_proc(2026).pdf"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utm_source=chatgpt.com" TargetMode="External"/><Relationship Id="rId22" Type="http://schemas.openxmlformats.org/officeDocument/2006/relationships/hyperlink" Target="https://www.vnmu.edu.ua/?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9</Pages>
  <Words>17573</Words>
  <Characters>10017</Characters>
  <Application>Microsoft Office Word</Application>
  <DocSecurity>0</DocSecurity>
  <Lines>83</Lines>
  <Paragraphs>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2026-10-22T06:09:00Z</dcterms:created>
  <dcterms:modified xsi:type="dcterms:W3CDTF">2026-10-28T11:55:00Z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eyJoZGlkIjoiMTYyNTFkZjM3ZTI1MmU2ZWUxNzg0ZDY3YjRkOTExYzEiLCJ1c2VySWQiOiIyODg2MjE4OTk0MDY1In0=</vt:lpwstr>
  </property>
  <property fmtid="{D5CDD505-2E9C-101B-9397-08002B2CF9AE}" pid="3" name="KSOProductBuildVer">
    <vt:lpwstr>1033-12.1.0.29162</vt:lpwstr>
  </property>
  <property fmtid="{D5CDD505-2E9C-101B-9397-08002B2CF9AE}" pid="4" name="ICV">
    <vt:lpwstr>9F9285731D9344FEBBA1268958BF5FF3_12</vt:lpwstr>
  </property>
</Properties>
</file>