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bCs w:val="1"/>
          <w:color w:val="4bacc6"/>
          <w:sz w:val="24"/>
          <w:szCs w:val="24"/>
          <w:u w:val="none"/>
        </w:rPr>
      </w:pPr>
      <w:r w:rsidDel="00000000" w:rsidR="00000000" w:rsidRPr="00000000">
        <w:rPr>
          <w:rFonts w:ascii="Times New Roman" w:cs="Times New Roman" w:eastAsia="Times New Roman" w:hAnsi="Times New Roman"/>
          <w:b w:val="1"/>
          <w:bCs w:val="1"/>
          <w:color w:val="4bacc6"/>
          <w:sz w:val="24"/>
          <w:szCs w:val="24"/>
          <w:u w:val="none"/>
          <w:rtl w:val="0"/>
        </w:rPr>
        <w:t xml:space="preserve">Вінницький національний медичний університет ім. М.І. Пирогова</w:t>
      </w:r>
      <w:r w:rsidDel="00000000" w:rsidR="00000000" w:rsidRPr="00000000">
        <w:drawing>
          <wp:anchor allowOverlap="1" behindDoc="0" distB="57150" distT="57150" distL="57150" distR="57150" hidden="0" layoutInCell="1" locked="0" relativeHeight="0" simplePos="0">
            <wp:simplePos x="0" y="0"/>
            <wp:positionH relativeFrom="column">
              <wp:posOffset>-18414</wp:posOffset>
            </wp:positionH>
            <wp:positionV relativeFrom="paragraph">
              <wp:posOffset>1</wp:posOffset>
            </wp:positionV>
            <wp:extent cx="690881" cy="924561"/>
            <wp:effectExtent b="0" l="0" r="0" t="0"/>
            <wp:wrapSquare wrapText="bothSides" distB="57150" distT="57150" distL="57150" distR="57150"/>
            <wp:docPr descr="H:\20201102 COMSOL Multiphysics Ревенок\Gerb Герб ВНМУ.JPG" id="1073741826" name="image1.jpg"/>
            <a:graphic>
              <a:graphicData uri="http://schemas.openxmlformats.org/drawingml/2006/picture">
                <pic:pic>
                  <pic:nvPicPr>
                    <pic:cNvPr descr="H:\20201102 COMSOL Multiphysics Ревенок\Gerb Герб ВНМУ.JPG" id="0" name="image1.jpg"/>
                    <pic:cNvPicPr preferRelativeResize="0"/>
                  </pic:nvPicPr>
                  <pic:blipFill>
                    <a:blip r:embed="rId7"/>
                    <a:srcRect b="0" l="0" r="0" t="0"/>
                    <a:stretch>
                      <a:fillRect/>
                    </a:stretch>
                  </pic:blipFill>
                  <pic:spPr>
                    <a:xfrm>
                      <a:off x="0" y="0"/>
                      <a:ext cx="690881" cy="924561"/>
                    </a:xfrm>
                    <a:prstGeom prst="rect"/>
                    <a:ln/>
                  </pic:spPr>
                </pic:pic>
              </a:graphicData>
            </a:graphic>
          </wp:anchor>
        </w:drawing>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bCs w:val="1"/>
          <w:color w:val="4bacc6"/>
          <w:sz w:val="24"/>
          <w:szCs w:val="24"/>
          <w:u w:val="none"/>
        </w:rPr>
      </w:pPr>
      <w:r w:rsidDel="00000000" w:rsidR="00000000" w:rsidRPr="00000000">
        <w:rPr>
          <w:rtl w:val="0"/>
        </w:rPr>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bCs w:val="1"/>
          <w:color w:val="4bacc6"/>
          <w:sz w:val="24"/>
          <w:szCs w:val="24"/>
          <w:u w:val="none"/>
        </w:rPr>
      </w:pPr>
      <w:r w:rsidDel="00000000" w:rsidR="00000000" w:rsidRPr="00000000">
        <w:rPr>
          <w:rFonts w:ascii="Times New Roman" w:cs="Times New Roman" w:eastAsia="Times New Roman" w:hAnsi="Times New Roman"/>
          <w:b w:val="1"/>
          <w:bCs w:val="1"/>
          <w:color w:val="4bacc6"/>
          <w:sz w:val="24"/>
          <w:szCs w:val="24"/>
          <w:u w:val="none"/>
          <w:rtl w:val="0"/>
        </w:rPr>
        <w:t xml:space="preserve">СИЛАБУС </w:t>
      </w:r>
    </w:p>
    <w:p w:rsidR="00000000" w:rsidDel="00000000" w:rsidP="00000000" w:rsidRDefault="00000000" w:rsidRPr="00000000" w14:paraId="00000004">
      <w:pPr>
        <w:spacing w:after="0" w:line="240" w:lineRule="auto"/>
        <w:ind w:left="708" w:firstLine="708"/>
        <w:rPr>
          <w:rFonts w:ascii="Times New Roman" w:cs="Times New Roman" w:eastAsia="Times New Roman" w:hAnsi="Times New Roman"/>
          <w:b w:val="1"/>
          <w:bCs w:val="1"/>
          <w:color w:val="4bacc6"/>
          <w:sz w:val="24"/>
          <w:szCs w:val="24"/>
          <w:u w:val="none"/>
        </w:rPr>
      </w:pPr>
      <w:r w:rsidDel="00000000" w:rsidR="00000000" w:rsidRPr="00000000">
        <w:rPr>
          <w:rFonts w:ascii="Times New Roman" w:cs="Times New Roman" w:eastAsia="Times New Roman" w:hAnsi="Times New Roman"/>
          <w:b w:val="1"/>
          <w:bCs w:val="1"/>
          <w:color w:val="4bacc6"/>
          <w:sz w:val="24"/>
          <w:szCs w:val="24"/>
          <w:u w:val="none"/>
          <w:rtl w:val="0"/>
        </w:rPr>
        <w:t xml:space="preserve">________________________________________________________</w:t>
      </w:r>
    </w:p>
    <w:p w:rsidR="00000000" w:rsidDel="00000000" w:rsidP="00000000" w:rsidRDefault="00000000" w:rsidRPr="00000000" w14:paraId="00000005">
      <w:pPr>
        <w:spacing w:after="0" w:line="240" w:lineRule="auto"/>
        <w:rPr>
          <w:rFonts w:ascii="Times New Roman" w:cs="Times New Roman" w:eastAsia="Times New Roman" w:hAnsi="Times New Roman"/>
          <w:b w:val="1"/>
          <w:bCs w:val="1"/>
          <w:color w:val="4bacc6"/>
          <w:sz w:val="24"/>
          <w:szCs w:val="24"/>
          <w:u w:val="none"/>
        </w:rPr>
      </w:pPr>
      <w:r w:rsidDel="00000000" w:rsidR="00000000" w:rsidRPr="00000000">
        <w:rPr>
          <w:rtl w:val="0"/>
        </w:rPr>
      </w:r>
    </w:p>
    <w:p w:rsidR="00000000" w:rsidDel="00000000" w:rsidP="00000000" w:rsidRDefault="00000000" w:rsidRPr="00000000" w14:paraId="00000006">
      <w:pPr>
        <w:spacing w:after="0" w:line="240" w:lineRule="auto"/>
        <w:rPr>
          <w:rFonts w:ascii="Times New Roman" w:cs="Times New Roman" w:eastAsia="Times New Roman" w:hAnsi="Times New Roman"/>
          <w:b w:val="1"/>
          <w:bCs w:val="1"/>
          <w:color w:val="4bacc6"/>
          <w:sz w:val="24"/>
          <w:szCs w:val="24"/>
          <w:u w:val="none"/>
        </w:rPr>
      </w:pP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b w:val="1"/>
          <w:bCs w:val="1"/>
          <w:color w:val="4bacc6"/>
          <w:sz w:val="24"/>
          <w:szCs w:val="24"/>
          <w:u w:val="none"/>
        </w:rPr>
      </w:pPr>
      <w:r w:rsidDel="00000000" w:rsidR="00000000" w:rsidRPr="00000000">
        <w:rPr>
          <w:rFonts w:ascii="Times New Roman" w:cs="Times New Roman" w:eastAsia="Times New Roman" w:hAnsi="Times New Roman"/>
          <w:b w:val="1"/>
          <w:bCs w:val="1"/>
          <w:color w:val="4bacc6"/>
          <w:sz w:val="24"/>
          <w:szCs w:val="24"/>
          <w:u w:val="none"/>
          <w:rtl w:val="0"/>
        </w:rPr>
        <w:t xml:space="preserve">Дисципліна з підготовки доктора філософії:</w:t>
      </w:r>
    </w:p>
    <w:p w:rsidR="00000000" w:rsidDel="00000000" w:rsidP="00000000" w:rsidRDefault="00000000" w:rsidRPr="00000000" w14:paraId="00000008">
      <w:pPr>
        <w:spacing w:after="0" w:line="240" w:lineRule="auto"/>
        <w:rPr>
          <w:rFonts w:ascii="Times New Roman" w:cs="Times New Roman" w:eastAsia="Times New Roman" w:hAnsi="Times New Roman"/>
          <w:b w:val="1"/>
          <w:bCs w:val="1"/>
          <w:color w:val="4bacc6"/>
          <w:sz w:val="24"/>
          <w:szCs w:val="24"/>
          <w:u w:val="none"/>
        </w:rPr>
      </w:pPr>
      <w:r w:rsidDel="00000000" w:rsidR="00000000" w:rsidRPr="00000000">
        <w:rPr>
          <w:rtl w:val="0"/>
        </w:rPr>
      </w:r>
    </w:p>
    <w:p w:rsidR="00000000" w:rsidDel="00000000" w:rsidP="00000000" w:rsidRDefault="00000000" w:rsidRPr="00000000" w14:paraId="00000009">
      <w:pPr>
        <w:spacing w:line="240" w:lineRule="auto"/>
        <w:rPr>
          <w:rFonts w:ascii="Times New Roman" w:cs="Times New Roman" w:eastAsia="Times New Roman" w:hAnsi="Times New Roman"/>
          <w:b w:val="1"/>
          <w:bCs w:val="1"/>
          <w:color w:val="4bacc6"/>
          <w:sz w:val="24"/>
          <w:szCs w:val="24"/>
          <w:u w:val="single"/>
        </w:rPr>
      </w:pPr>
      <w:r w:rsidDel="00000000" w:rsidR="00000000" w:rsidRPr="00000000">
        <w:rPr>
          <w:rFonts w:ascii="Times New Roman" w:cs="Times New Roman" w:eastAsia="Times New Roman" w:hAnsi="Times New Roman"/>
          <w:b w:val="1"/>
          <w:bCs w:val="1"/>
          <w:color w:val="4bacc6"/>
          <w:sz w:val="24"/>
          <w:szCs w:val="24"/>
          <w:u w:val="single"/>
          <w:rtl w:val="0"/>
        </w:rPr>
        <w:t xml:space="preserve">Урологія ВК 4.30</w:t>
      </w:r>
    </w:p>
    <w:tbl>
      <w:tblPr>
        <w:tblStyle w:val="Table1"/>
        <w:tblW w:w="966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4077"/>
        <w:gridCol w:w="5592"/>
        <w:tblGridChange w:id="0">
          <w:tblGrid>
            <w:gridCol w:w="4077"/>
            <w:gridCol w:w="5592"/>
          </w:tblGrid>
        </w:tblGridChange>
      </w:tblGrid>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0A">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Спеціальність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0B">
            <w:pPr>
              <w:spacing w:after="100" w:before="100" w:line="240" w:lineRule="auto"/>
              <w:rPr/>
            </w:pPr>
            <w:r w:rsidDel="00000000" w:rsidR="00000000" w:rsidRPr="00000000">
              <w:rPr>
                <w:rFonts w:ascii="Times New Roman" w:cs="Times New Roman" w:eastAsia="Times New Roman" w:hAnsi="Times New Roman"/>
                <w:sz w:val="24"/>
                <w:szCs w:val="24"/>
                <w:rtl w:val="0"/>
              </w:rPr>
              <w:t xml:space="preserve"> «Медицина»</w:t>
            </w:r>
            <w:r w:rsidDel="00000000" w:rsidR="00000000" w:rsidRPr="00000000">
              <w:rPr>
                <w:rtl w:val="0"/>
              </w:rPr>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0C">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Освітньо-наукова програма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0D">
            <w:pPr>
              <w:spacing w:after="100" w:before="100" w:line="240" w:lineRule="auto"/>
              <w:rPr/>
            </w:pPr>
            <w:r w:rsidDel="00000000" w:rsidR="00000000" w:rsidRPr="00000000">
              <w:rPr>
                <w:rFonts w:ascii="Times New Roman" w:cs="Times New Roman" w:eastAsia="Times New Roman" w:hAnsi="Times New Roman"/>
                <w:sz w:val="24"/>
                <w:szCs w:val="24"/>
                <w:rtl w:val="0"/>
              </w:rPr>
              <w:t xml:space="preserve"> «Медицина», 2020</w:t>
            </w:r>
            <w:r w:rsidDel="00000000" w:rsidR="00000000" w:rsidRPr="00000000">
              <w:rPr>
                <w:rtl w:val="0"/>
              </w:rPr>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0E">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Рівень вищої освіти</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0F">
            <w:pPr>
              <w:spacing w:after="100" w:before="100" w:line="240" w:lineRule="auto"/>
              <w:rPr/>
            </w:pPr>
            <w:r w:rsidDel="00000000" w:rsidR="00000000" w:rsidRPr="00000000">
              <w:rPr>
                <w:rFonts w:ascii="Times New Roman" w:cs="Times New Roman" w:eastAsia="Times New Roman" w:hAnsi="Times New Roman"/>
                <w:sz w:val="24"/>
                <w:szCs w:val="24"/>
                <w:rtl w:val="0"/>
              </w:rPr>
              <w:t xml:space="preserve"> Третій (освітньо-науковий) </w:t>
            </w:r>
            <w:r w:rsidDel="00000000" w:rsidR="00000000" w:rsidRPr="00000000">
              <w:rPr>
                <w:rtl w:val="0"/>
              </w:rPr>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0">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Навчальний рік</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1">
            <w:pPr>
              <w:spacing w:after="100" w:before="100" w:line="240" w:lineRule="auto"/>
              <w:rPr/>
            </w:pPr>
            <w:r w:rsidDel="00000000" w:rsidR="00000000" w:rsidRPr="00000000">
              <w:rPr>
                <w:rFonts w:ascii="Times New Roman" w:cs="Times New Roman" w:eastAsia="Times New Roman" w:hAnsi="Times New Roman"/>
                <w:sz w:val="24"/>
                <w:szCs w:val="24"/>
                <w:rtl w:val="0"/>
              </w:rPr>
              <w:t xml:space="preserve">2025-2026</w:t>
            </w:r>
            <w:r w:rsidDel="00000000" w:rsidR="00000000" w:rsidRPr="00000000">
              <w:rPr>
                <w:rtl w:val="0"/>
              </w:rPr>
            </w:r>
          </w:p>
        </w:tc>
      </w:tr>
      <w:tr>
        <w:trPr>
          <w:cantSplit w:val="0"/>
          <w:trHeight w:val="6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12">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Статус дисципліни </w:t>
            </w:r>
            <w:r w:rsidDel="00000000" w:rsidR="00000000" w:rsidRPr="00000000">
              <w:rPr>
                <w:rFonts w:ascii="Times New Roman" w:cs="Times New Roman" w:eastAsia="Times New Roman" w:hAnsi="Times New Roman"/>
                <w:sz w:val="24"/>
                <w:szCs w:val="24"/>
                <w:rtl w:val="0"/>
              </w:rPr>
              <w:t xml:space="preserve">(обов’язкова/вибіркова)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3">
            <w:pPr>
              <w:spacing w:after="100" w:before="100" w:line="240" w:lineRule="auto"/>
              <w:rPr/>
            </w:pPr>
            <w:r w:rsidDel="00000000" w:rsidR="00000000" w:rsidRPr="00000000">
              <w:rPr>
                <w:rFonts w:ascii="Times New Roman" w:cs="Times New Roman" w:eastAsia="Times New Roman" w:hAnsi="Times New Roman"/>
                <w:sz w:val="24"/>
                <w:szCs w:val="24"/>
                <w:rtl w:val="0"/>
              </w:rPr>
              <w:t xml:space="preserve"> Вибіркова, цикл професійної підготовки</w:t>
            </w:r>
            <w:r w:rsidDel="00000000" w:rsidR="00000000" w:rsidRPr="00000000">
              <w:rPr>
                <w:rtl w:val="0"/>
              </w:rPr>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14">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Мова викладання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5">
            <w:pPr>
              <w:spacing w:after="100" w:before="100" w:line="240" w:lineRule="auto"/>
              <w:rPr/>
            </w:pPr>
            <w:r w:rsidDel="00000000" w:rsidR="00000000" w:rsidRPr="00000000">
              <w:rPr>
                <w:rFonts w:ascii="Times New Roman" w:cs="Times New Roman" w:eastAsia="Times New Roman" w:hAnsi="Times New Roman"/>
                <w:sz w:val="24"/>
                <w:szCs w:val="24"/>
                <w:rtl w:val="0"/>
              </w:rPr>
              <w:t xml:space="preserve"> українська</w:t>
            </w:r>
            <w:r w:rsidDel="00000000" w:rsidR="00000000" w:rsidRPr="00000000">
              <w:rPr>
                <w:rtl w:val="0"/>
              </w:rPr>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16">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Загальне навантаження</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7">
            <w:pPr>
              <w:spacing w:after="100" w:before="100" w:line="240" w:lineRule="auto"/>
              <w:rPr/>
            </w:pPr>
            <w:r w:rsidDel="00000000" w:rsidR="00000000" w:rsidRPr="00000000">
              <w:rPr>
                <w:rFonts w:ascii="Times New Roman" w:cs="Times New Roman" w:eastAsia="Times New Roman" w:hAnsi="Times New Roman"/>
                <w:sz w:val="24"/>
                <w:szCs w:val="24"/>
                <w:rtl w:val="0"/>
              </w:rPr>
              <w:t xml:space="preserve"> 8 кредити ЄКТС</w:t>
            </w:r>
            <w:r w:rsidDel="00000000" w:rsidR="00000000" w:rsidRPr="00000000">
              <w:rPr>
                <w:rtl w:val="0"/>
              </w:rPr>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18">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Курс / семестр</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9">
            <w:pPr>
              <w:rPr/>
            </w:pPr>
            <w:r w:rsidDel="00000000" w:rsidR="00000000" w:rsidRPr="00000000">
              <w:rPr>
                <w:rtl w:val="0"/>
              </w:rPr>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1A">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Укладач (і)</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B">
            <w:pPr>
              <w:spacing w:after="0" w:line="240" w:lineRule="auto"/>
              <w:rPr/>
            </w:pPr>
            <w:r w:rsidDel="00000000" w:rsidR="00000000" w:rsidRPr="00000000">
              <w:rPr>
                <w:rFonts w:ascii="Times New Roman" w:cs="Times New Roman" w:eastAsia="Times New Roman" w:hAnsi="Times New Roman"/>
                <w:sz w:val="24"/>
                <w:szCs w:val="24"/>
                <w:rtl w:val="0"/>
              </w:rPr>
              <w:t xml:space="preserve">Завідувач курсу урології, доцент Барало І.В.</w:t>
            </w:r>
            <w:r w:rsidDel="00000000" w:rsidR="00000000" w:rsidRPr="00000000">
              <w:rPr>
                <w:rtl w:val="0"/>
              </w:rPr>
            </w:r>
          </w:p>
        </w:tc>
      </w:tr>
      <w:tr>
        <w:trPr>
          <w:cantSplit w:val="0"/>
          <w:trHeight w:val="6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1C">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Викладач (і), гостьові лектори</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D">
            <w:pPr>
              <w:spacing w:after="0" w:line="240" w:lineRule="auto"/>
              <w:rPr/>
            </w:pPr>
            <w:r w:rsidDel="00000000" w:rsidR="00000000" w:rsidRPr="00000000">
              <w:rPr>
                <w:rtl w:val="0"/>
              </w:rPr>
            </w:r>
          </w:p>
        </w:tc>
      </w:tr>
      <w:tr>
        <w:trPr>
          <w:cantSplit w:val="0"/>
          <w:trHeight w:val="91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vAlign w:val="center"/>
          </w:tcPr>
          <w:p w:rsidR="00000000" w:rsidDel="00000000" w:rsidP="00000000" w:rsidRDefault="00000000" w:rsidRPr="00000000" w14:paraId="0000001E">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Місце проведення, контакти</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80.0" w:type="dxa"/>
              <w:left w:w="80.0" w:type="dxa"/>
              <w:bottom w:w="80.0" w:type="dxa"/>
              <w:right w:w="80.0" w:type="dxa"/>
            </w:tcMar>
          </w:tcPr>
          <w:p w:rsidR="00000000" w:rsidDel="00000000" w:rsidP="00000000" w:rsidRDefault="00000000" w:rsidRPr="00000000" w14:paraId="0000001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вул.Пирогова, 45 (хірургічний центр 4 поверх)</w:t>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Ел. адреса urology@vnmu.edu.ua</w:t>
            </w:r>
          </w:p>
          <w:p w:rsidR="00000000" w:rsidDel="00000000" w:rsidP="00000000" w:rsidRDefault="00000000" w:rsidRPr="00000000" w14:paraId="00000021">
            <w:pPr>
              <w:spacing w:after="0" w:line="240" w:lineRule="auto"/>
              <w:jc w:val="both"/>
              <w:rPr/>
            </w:pPr>
            <w:r w:rsidDel="00000000" w:rsidR="00000000" w:rsidRPr="00000000">
              <w:rPr>
                <w:rFonts w:ascii="Times New Roman" w:cs="Times New Roman" w:eastAsia="Times New Roman" w:hAnsi="Times New Roman"/>
                <w:sz w:val="24"/>
                <w:szCs w:val="24"/>
                <w:rtl w:val="0"/>
              </w:rPr>
              <w:t xml:space="preserve">Тел..0972834352</w:t>
            </w:r>
            <w:r w:rsidDel="00000000" w:rsidR="00000000" w:rsidRPr="00000000">
              <w:rPr>
                <w:rtl w:val="0"/>
              </w:rPr>
            </w:r>
          </w:p>
        </w:tc>
      </w:tr>
    </w:tbl>
    <w:p w:rsidR="00000000" w:rsidDel="00000000" w:rsidP="00000000" w:rsidRDefault="00000000" w:rsidRPr="00000000" w14:paraId="00000022">
      <w:pPr>
        <w:widowControl w:val="0"/>
        <w:spacing w:line="240" w:lineRule="auto"/>
        <w:rPr>
          <w:rFonts w:ascii="Times New Roman" w:cs="Times New Roman" w:eastAsia="Times New Roman" w:hAnsi="Times New Roman"/>
          <w:b w:val="1"/>
          <w:bCs w:val="1"/>
          <w:color w:val="4bacc6"/>
          <w:sz w:val="24"/>
          <w:szCs w:val="24"/>
          <w:u w:val="single"/>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1.Опис  дисципліни </w:t>
      </w:r>
    </w:p>
    <w:p w:rsidR="00000000" w:rsidDel="00000000" w:rsidP="00000000" w:rsidRDefault="00000000" w:rsidRPr="00000000" w14:paraId="0000002D">
      <w:pPr>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E">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Анотація.  </w:t>
      </w:r>
      <w:r w:rsidDel="00000000" w:rsidR="00000000" w:rsidRPr="00000000">
        <w:rPr>
          <w:rFonts w:ascii="Times New Roman" w:cs="Times New Roman" w:eastAsia="Times New Roman" w:hAnsi="Times New Roman"/>
          <w:sz w:val="24"/>
          <w:szCs w:val="24"/>
          <w:rtl w:val="0"/>
        </w:rPr>
        <w:t xml:space="preserve">Освітньо-науковий рівень вищої освіти передбачає здобуття особою теоретичних знань, умінь, навичок та інших компетентностей,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 (Закон України «Про вищу освіту», 2014).</w:t>
      </w:r>
    </w:p>
    <w:p w:rsidR="00000000" w:rsidDel="00000000" w:rsidP="00000000" w:rsidRDefault="00000000" w:rsidRPr="00000000" w14:paraId="0000002F">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Аспіранту винесені питання диференційної діагностики та найновітніші наукові дані щодо найбільш поширених урологічних захворювань з наданням невідкладної допомоги при основних невідкладних станах в розрізі вищевказаних напрямків та диспансерний нагляд.</w:t>
      </w:r>
    </w:p>
    <w:p w:rsidR="00000000" w:rsidDel="00000000" w:rsidP="00000000" w:rsidRDefault="00000000" w:rsidRPr="00000000" w14:paraId="00000030">
      <w:pPr>
        <w:spacing w:after="120" w:before="1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Мета та завдання навчальної дисципліни</w:t>
      </w:r>
    </w:p>
    <w:p w:rsidR="00000000" w:rsidDel="00000000" w:rsidP="00000000" w:rsidRDefault="00000000" w:rsidRPr="00000000" w14:paraId="00000031">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Метою викладання навчальної дисципліни “Урологія” є здобуття аспірантами знань, навичок та вмінь у сфері захворювань органів сечо-статевої системи  людини, достатніх для виконання оригінального наукового дослідження, отримання нових фактів та їх впровадження у практичну медицину та інші сфери життя </w:t>
      </w:r>
    </w:p>
    <w:p w:rsidR="00000000" w:rsidDel="00000000" w:rsidP="00000000" w:rsidRDefault="00000000" w:rsidRPr="00000000" w14:paraId="00000032">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Основними завданнями вивчення дисципліни “Урологія” є формування системи знань, професійних умінь, педагогічної майстерності, дослідницько-інноваційної діяльності та практичних навичок під час ведення хворих урологічного профілю.</w:t>
      </w:r>
    </w:p>
    <w:p w:rsidR="00000000" w:rsidDel="00000000" w:rsidP="00000000" w:rsidRDefault="00000000" w:rsidRPr="00000000" w14:paraId="00000033">
      <w:pPr>
        <w:spacing w:after="120" w:before="1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2.Результати навчання  </w:t>
      </w:r>
    </w:p>
    <w:p w:rsidR="00000000" w:rsidDel="00000000" w:rsidP="00000000" w:rsidRDefault="00000000" w:rsidRPr="00000000" w14:paraId="00000034">
      <w:pPr>
        <w:spacing w:after="120" w:before="1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Програмні результати навчання (ПРН):</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ПРН1 Демонструвати безперервний розвиток власного інтелектуального та загальнокультурного рівню, самореалізації </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ПРН2 Інтерпретувати та аналізувати інформацію з використанням новітніх інформаційних технологій </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ПРН3 Виявляти невирішені проблеми у предметній області, формулювати питання та визначати шляхи їх рішення </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ПРН4 Формулювати наукові гіпотези, мету і завдання наукового дослідження </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ПРН5 Розробляти дизайн та план наукового дослідження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ПРН6 Виконувати оригінальне наукове дослідження </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ПРН7 Пояснювати принципи, специфічність та чутливість методів дослідження, інформативність обраних показників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ПРН8 Володіти, вдосконалювати та впроваджувати нові методи дослідження за обраним напрямом наукового проекту та освітньої діяльності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ПРН9 Аналізувати результати наукових досліджень, використовувати методи статистичного дослідження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ПРН10 Впроваджувати результатинаукових досліджень у освітній процес, медичну практику та суспільство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ПРН11 Презентувати результати наукових досліджень у формі презентації, постерних доповідей, публікацій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ПРН12 Розвивати комунікації в професійному середовищі й громадській сфері </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ПРН13 Організовувати освітній процес </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ПРН14 Оцінювати ефективність освітнього процесу, рекомендувати шляхи його удосконалення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ПРН15 Організовувати роботу колективу (студентів, колег, міждисциплінарної команди) ПРН16 Дотримуватися етичних принципів при роботі з пацієнтами, лабораторними тваринами </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ПРН17 Дотримуватися академічної доброчесності, нести відповідальність за достовірність отриманих наукових результатів</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Програмні компетенції</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Підготовка фахівців третього (освітньо-наукового) рівня вищої освіти з спеціалізації «Урологія » здійснюється шляхом поєднання традиційних методів навчання та сучасних педагогічних технологій, таких як інформаційні технології, інтерактивні та дослідницькі методики, навчання за технологією тренінгу. Для підготовки докторів філософії застосування сучасних інформаційних технологій сприяє формуванню та удосконаленню загальних та фахових компетентностей, ознайомленню з новітніми розробками в галузі Охорони здоров’я. Методики тренінгового навчання у вигляді виконання пошукових, розрахункових та творчих завдань з використанням сучасних інформаційних технологій, роботи з базами бібліографічних, статистичних, соціологічних та інших видів даних, апробація результатів самостійного наукового дослідження на наукових конференціях, семінарах тощо. Забезпечують поглиблення основних загальних та фахових компетентностей фахівців освітньо-наукового ступеня доктора філософії за спеціальністю «Медицина», спеціалізації «Урологія ».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Загальні компетенції</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ЗК1. Здатність до підвищення професійної кваліфікації.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ЗК2. Здатність до пошуку, оброблення та аналізу інформації з різних джерел.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ЗК3. Здатність виявляти, ставити та вирішувати проблеми, генерувати ідеї.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ЗК4. Здатність розробляти та управляти проектами.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ЗК5. Здатність до спілкування у професійному середовищі та з представниками інших професій у національному та міжнародному контексті.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ЗК6. Здатність застосовувати знання у практичних ситуаціях.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Фахові компетенції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ФК1. Здатність до розуміння предметної області за обраним науковим напрямом та освітньою діяльністю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ФК2. Здатність виявляти потребу в додаткових знаннях у сфері медицини та за напрямком наукових досліджень, генерувати наукові гіпотези.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ФК3. Здатність формулювати дослідницьке питання, розробляти проект наукового дослідження.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ФК4. Здатність обирати методи та кінцеві точки дослідження відповідно до цілей та завдань наукового проекту.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ФК5. Володіння сучасними методами наукового дослідження.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ФК6. Здатність інтерпретувати результати наукових досліджень, проводити їх коректний аналіз та узагальнення.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ФК7. Здатність до впровадження нових знань (наукових даних) в науку, освіту та інші сектори суспільства.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ФК8. Здатність представлення результатів наукових досліджень в усній і письмовій формі відповідно до національних та міжнародних стандартів.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ФК9. Здатність до організації та реалізації педагогічної діяльності.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ФК10. Здатність до лідерства, керування колективом.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ФК11. Дотримання етики та академічної доброчесності</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3.Розподіл за видами занять та годинами навчання</w:t>
      </w:r>
    </w:p>
    <w:tbl>
      <w:tblPr>
        <w:tblStyle w:val="Table2"/>
        <w:tblW w:w="985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4927"/>
        <w:gridCol w:w="4928"/>
        <w:tblGridChange w:id="0">
          <w:tblGrid>
            <w:gridCol w:w="4927"/>
            <w:gridCol w:w="4928"/>
          </w:tblGrid>
        </w:tblGridChange>
      </w:tblGrid>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6">
            <w:pPr>
              <w:spacing w:line="240" w:lineRule="auto"/>
              <w:jc w:val="center"/>
              <w:rPr/>
            </w:pPr>
            <w:r w:rsidDel="00000000" w:rsidR="00000000" w:rsidRPr="00000000">
              <w:rPr>
                <w:rFonts w:ascii="Times New Roman" w:cs="Times New Roman" w:eastAsia="Times New Roman" w:hAnsi="Times New Roman"/>
                <w:b w:val="1"/>
                <w:bCs w:val="1"/>
                <w:sz w:val="24"/>
                <w:szCs w:val="24"/>
                <w:rtl w:val="0"/>
              </w:rPr>
              <w:t xml:space="preserve">Вид занять</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7">
            <w:pPr>
              <w:spacing w:line="240" w:lineRule="auto"/>
              <w:jc w:val="center"/>
              <w:rPr/>
            </w:pPr>
            <w:r w:rsidDel="00000000" w:rsidR="00000000" w:rsidRPr="00000000">
              <w:rPr>
                <w:rFonts w:ascii="Times New Roman" w:cs="Times New Roman" w:eastAsia="Times New Roman" w:hAnsi="Times New Roman"/>
                <w:b w:val="1"/>
                <w:bCs w:val="1"/>
                <w:sz w:val="24"/>
                <w:szCs w:val="24"/>
                <w:rtl w:val="0"/>
              </w:rPr>
              <w:t xml:space="preserve">Години</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8">
            <w:pPr>
              <w:spacing w:line="240" w:lineRule="auto"/>
              <w:jc w:val="center"/>
              <w:rPr/>
            </w:pPr>
            <w:r w:rsidDel="00000000" w:rsidR="00000000" w:rsidRPr="00000000">
              <w:rPr>
                <w:rFonts w:ascii="Times New Roman" w:cs="Times New Roman" w:eastAsia="Times New Roman" w:hAnsi="Times New Roman"/>
                <w:sz w:val="24"/>
                <w:szCs w:val="24"/>
                <w:rtl w:val="0"/>
              </w:rPr>
              <w:t xml:space="preserve">Практичнізаняття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9">
            <w:pPr>
              <w:spacing w:line="240" w:lineRule="auto"/>
              <w:jc w:val="center"/>
              <w:rPr/>
            </w:pPr>
            <w:r w:rsidDel="00000000" w:rsidR="00000000" w:rsidRPr="00000000">
              <w:rPr>
                <w:rFonts w:ascii="Times New Roman" w:cs="Times New Roman" w:eastAsia="Times New Roman" w:hAnsi="Times New Roman"/>
                <w:sz w:val="24"/>
                <w:szCs w:val="24"/>
                <w:rtl w:val="0"/>
              </w:rPr>
              <w:t xml:space="preserve">90</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A">
            <w:pPr>
              <w:spacing w:line="240" w:lineRule="auto"/>
              <w:jc w:val="center"/>
              <w:rPr/>
            </w:pPr>
            <w:r w:rsidDel="00000000" w:rsidR="00000000" w:rsidRPr="00000000">
              <w:rPr>
                <w:rFonts w:ascii="Times New Roman" w:cs="Times New Roman" w:eastAsia="Times New Roman" w:hAnsi="Times New Roman"/>
                <w:sz w:val="24"/>
                <w:szCs w:val="24"/>
                <w:rtl w:val="0"/>
              </w:rPr>
              <w:t xml:space="preserve">Самостійнароботи</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B">
            <w:pPr>
              <w:spacing w:line="240" w:lineRule="auto"/>
              <w:jc w:val="center"/>
              <w:rPr/>
            </w:pPr>
            <w:r w:rsidDel="00000000" w:rsidR="00000000" w:rsidRPr="00000000">
              <w:rPr>
                <w:rFonts w:ascii="Times New Roman" w:cs="Times New Roman" w:eastAsia="Times New Roman" w:hAnsi="Times New Roman"/>
                <w:sz w:val="24"/>
                <w:szCs w:val="24"/>
                <w:rtl w:val="0"/>
              </w:rPr>
              <w:t xml:space="preserve">90</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C">
            <w:pPr>
              <w:spacing w:line="240" w:lineRule="auto"/>
              <w:jc w:val="center"/>
              <w:rPr/>
            </w:pPr>
            <w:r w:rsidDel="00000000" w:rsidR="00000000" w:rsidRPr="00000000">
              <w:rPr>
                <w:rFonts w:ascii="Times New Roman" w:cs="Times New Roman" w:eastAsia="Times New Roman" w:hAnsi="Times New Roman"/>
                <w:sz w:val="24"/>
                <w:szCs w:val="24"/>
                <w:rtl w:val="0"/>
              </w:rPr>
              <w:t xml:space="preserve">Медична практика</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D">
            <w:pPr>
              <w:spacing w:line="240" w:lineRule="auto"/>
              <w:jc w:val="center"/>
              <w:rPr/>
            </w:pPr>
            <w:r w:rsidDel="00000000" w:rsidR="00000000" w:rsidRPr="00000000">
              <w:rPr>
                <w:rFonts w:ascii="Times New Roman" w:cs="Times New Roman" w:eastAsia="Times New Roman" w:hAnsi="Times New Roman"/>
                <w:sz w:val="24"/>
                <w:szCs w:val="24"/>
                <w:rtl w:val="0"/>
              </w:rPr>
              <w:t xml:space="preserve">60</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E">
            <w:pPr>
              <w:spacing w:line="240" w:lineRule="auto"/>
              <w:jc w:val="center"/>
              <w:rPr/>
            </w:pPr>
            <w:r w:rsidDel="00000000" w:rsidR="00000000" w:rsidRPr="00000000">
              <w:rPr>
                <w:rFonts w:ascii="Times New Roman" w:cs="Times New Roman" w:eastAsia="Times New Roman" w:hAnsi="Times New Roman"/>
                <w:sz w:val="24"/>
                <w:szCs w:val="24"/>
                <w:rtl w:val="0"/>
              </w:rPr>
              <w:t xml:space="preserve">Всього</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F">
            <w:pPr>
              <w:spacing w:line="240" w:lineRule="auto"/>
              <w:jc w:val="center"/>
              <w:rPr/>
            </w:pPr>
            <w:r w:rsidDel="00000000" w:rsidR="00000000" w:rsidRPr="00000000">
              <w:rPr>
                <w:rFonts w:ascii="Times New Roman" w:cs="Times New Roman" w:eastAsia="Times New Roman" w:hAnsi="Times New Roman"/>
                <w:sz w:val="24"/>
                <w:szCs w:val="24"/>
                <w:rtl w:val="0"/>
              </w:rPr>
              <w:t xml:space="preserve">240</w:t>
            </w:r>
            <w:r w:rsidDel="00000000" w:rsidR="00000000" w:rsidRPr="00000000">
              <w:rPr>
                <w:rtl w:val="0"/>
              </w:rPr>
            </w:r>
          </w:p>
        </w:tc>
      </w:tr>
    </w:tbl>
    <w:p w:rsidR="00000000" w:rsidDel="00000000" w:rsidP="00000000" w:rsidRDefault="00000000" w:rsidRPr="00000000" w14:paraId="00000070">
      <w:pPr>
        <w:widowControl w:val="0"/>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4.Тематичний план</w:t>
      </w:r>
    </w:p>
    <w:tbl>
      <w:tblPr>
        <w:tblStyle w:val="Table3"/>
        <w:tblW w:w="995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534"/>
        <w:gridCol w:w="9418"/>
        <w:tblGridChange w:id="0">
          <w:tblGrid>
            <w:gridCol w:w="534"/>
            <w:gridCol w:w="9418"/>
          </w:tblGrid>
        </w:tblGridChange>
      </w:tblGrid>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3">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Назви змістових модулів і тем</w:t>
            </w:r>
            <w:r w:rsidDel="00000000" w:rsidR="00000000" w:rsidRPr="00000000">
              <w:rPr>
                <w:rtl w:val="0"/>
              </w:rPr>
            </w:r>
          </w:p>
        </w:tc>
      </w:tr>
      <w:tr>
        <w:trPr>
          <w:cantSplit w:val="0"/>
          <w:trHeight w:val="142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6">
            <w:pPr>
              <w:spacing w:after="0" w:line="240" w:lineRule="auto"/>
              <w:jc w:val="both"/>
              <w:rPr/>
            </w:pPr>
            <w:r w:rsidDel="00000000" w:rsidR="00000000" w:rsidRPr="00000000">
              <w:rPr>
                <w:rFonts w:ascii="Times New Roman" w:cs="Times New Roman" w:eastAsia="Times New Roman" w:hAnsi="Times New Roman"/>
                <w:sz w:val="24"/>
                <w:szCs w:val="24"/>
                <w:rtl w:val="0"/>
              </w:rPr>
              <w:t xml:space="preserve">Клінічна анатомія і фізіологія сечостатевої системи. Скелетотопія та синтопія нирок, наднирників та сечоводів. Фасції та жирові прошарки заочеревинного простору. Артеріальне кровопостачання нирок та венозний відтік. Іннервація та лімфовідтік з нирок. Ретнгенанатоміячашечно- мискової системи. Сегментарна будова нирки.</w:t>
            </w:r>
            <w:r w:rsidDel="00000000" w:rsidR="00000000" w:rsidRPr="00000000">
              <w:rPr>
                <w:rtl w:val="0"/>
              </w:rPr>
            </w:r>
          </w:p>
        </w:tc>
      </w:tr>
      <w:tr>
        <w:trPr>
          <w:cantSplit w:val="0"/>
          <w:trHeight w:val="9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8">
            <w:pPr>
              <w:spacing w:after="0" w:line="240" w:lineRule="auto"/>
              <w:jc w:val="both"/>
              <w:rPr/>
            </w:pPr>
            <w:r w:rsidDel="00000000" w:rsidR="00000000" w:rsidRPr="00000000">
              <w:rPr>
                <w:rFonts w:ascii="Times New Roman" w:cs="Times New Roman" w:eastAsia="Times New Roman" w:hAnsi="Times New Roman"/>
                <w:sz w:val="24"/>
                <w:szCs w:val="24"/>
                <w:rtl w:val="0"/>
              </w:rPr>
              <w:t xml:space="preserve">Анатомія сечоводів. Рентгенологічний та клінічний розподіл сечоводів на відділи. Верхня, середня та нижня третина. Особливості кровопостачання, іннервації, крово- та лімфовідтоку. Цистоїдна будова сечоводів. Транспорт сечі.</w:t>
            </w:r>
            <w:r w:rsidDel="00000000" w:rsidR="00000000" w:rsidRPr="00000000">
              <w:rPr>
                <w:rtl w:val="0"/>
              </w:rPr>
            </w:r>
          </w:p>
        </w:tc>
      </w:tr>
      <w:tr>
        <w:trPr>
          <w:cantSplit w:val="0"/>
          <w:trHeight w:val="9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A">
            <w:pPr>
              <w:spacing w:after="0" w:line="240" w:lineRule="auto"/>
              <w:jc w:val="both"/>
              <w:rPr/>
            </w:pPr>
            <w:r w:rsidDel="00000000" w:rsidR="00000000" w:rsidRPr="00000000">
              <w:rPr>
                <w:rFonts w:ascii="Times New Roman" w:cs="Times New Roman" w:eastAsia="Times New Roman" w:hAnsi="Times New Roman"/>
                <w:sz w:val="24"/>
                <w:szCs w:val="24"/>
                <w:rtl w:val="0"/>
              </w:rPr>
              <w:t xml:space="preserve">Сечовий міхур. Дно. Шийка. Верхівка. Трикутник Льето. Особивості гістологічної будови стінки різних відділів. Кровопостачання. Іннервація. Симпатична. Парасимпатична. Альфа- та бета- адренорецептори. Фази накопичення і випорожнення. Методи оцінки мікції.</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C">
            <w:pPr>
              <w:spacing w:after="0" w:line="240" w:lineRule="auto"/>
              <w:jc w:val="both"/>
              <w:rPr/>
            </w:pPr>
            <w:r w:rsidDel="00000000" w:rsidR="00000000" w:rsidRPr="00000000">
              <w:rPr>
                <w:rFonts w:ascii="Times New Roman" w:cs="Times New Roman" w:eastAsia="Times New Roman" w:hAnsi="Times New Roman"/>
                <w:sz w:val="24"/>
                <w:szCs w:val="24"/>
                <w:rtl w:val="0"/>
              </w:rPr>
              <w:t xml:space="preserve">Анатомія та фізіологія. Чоловічих статевих органів. Фази копулятивного циклу. Можливості та методи суб'єктивної та об'єктивної оцінки.</w:t>
            </w:r>
            <w:r w:rsidDel="00000000" w:rsidR="00000000" w:rsidRPr="00000000">
              <w:rPr>
                <w:rtl w:val="0"/>
              </w:rPr>
            </w:r>
          </w:p>
        </w:tc>
      </w:tr>
      <w:tr>
        <w:trPr>
          <w:cantSplit w:val="0"/>
          <w:trHeight w:val="9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E">
            <w:pPr>
              <w:spacing w:after="0" w:line="240" w:lineRule="auto"/>
              <w:jc w:val="both"/>
              <w:rPr/>
            </w:pPr>
            <w:r w:rsidDel="00000000" w:rsidR="00000000" w:rsidRPr="00000000">
              <w:rPr>
                <w:rFonts w:ascii="Times New Roman" w:cs="Times New Roman" w:eastAsia="Times New Roman" w:hAnsi="Times New Roman"/>
                <w:sz w:val="24"/>
                <w:szCs w:val="24"/>
                <w:rtl w:val="0"/>
              </w:rPr>
              <w:t xml:space="preserve">Об'єктивне обстеження урологічного хворого. Огляд загальний та місцевий. Правила пальпації нирок. Особливості пальпації сечового міхура. Пальпація зовнішніх статевих органів. Пальцеве ректальне дослідження передміхурової залози. Перкусія в урології та аускультація.</w:t>
            </w:r>
            <w:r w:rsidDel="00000000" w:rsidR="00000000" w:rsidRPr="00000000">
              <w:rPr>
                <w:rtl w:val="0"/>
              </w:rPr>
            </w:r>
          </w:p>
        </w:tc>
      </w:tr>
      <w:tr>
        <w:trPr>
          <w:cantSplit w:val="0"/>
          <w:trHeight w:val="9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0">
            <w:pPr>
              <w:spacing w:after="0" w:line="240" w:lineRule="auto"/>
              <w:jc w:val="both"/>
              <w:rPr/>
            </w:pPr>
            <w:r w:rsidDel="00000000" w:rsidR="00000000" w:rsidRPr="00000000">
              <w:rPr>
                <w:rFonts w:ascii="Times New Roman" w:cs="Times New Roman" w:eastAsia="Times New Roman" w:hAnsi="Times New Roman"/>
                <w:sz w:val="24"/>
                <w:szCs w:val="24"/>
                <w:rtl w:val="0"/>
              </w:rPr>
              <w:t xml:space="preserve">Ретроградні та антеградні рентгенограми сечоводів та ниркових мисок. Діагностичні можливості. Клінічне значення для енодоскопічної хірургії. Пневморен та пневмоперитонеум. Можливості різних контрастних засобів. Подвійне контрастування.</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Цистографія. Різновиди. Методики. Покази до застосування. Діагностичні можливості. Уретрографія. Простатографія. Генітографія. Кавернозографія.</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Сучасні методи візуалізації в урології. Спіральна комп'ютерна томографія. Магніто-резонансна томографія. Позитронно-емісійна томографія. </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Ультрасонографія в урології. Можливості для діагностики і моніторингу захворювань нирок, сечоводів, сечового міхура, уретри, простати, геніталій. </w:t>
            </w:r>
          </w:p>
        </w:tc>
      </w:tr>
      <w:tr>
        <w:trPr>
          <w:cantSplit w:val="0"/>
          <w:trHeight w:val="9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Інструментально-апаратні дослідження в урології. Діафаноскопія. Уретроскопія. Цистоскопія. Хромоцистоскопія. Уретероскопія. Пієло-нефроскопія ригідна та фіброволоконно-оптична. Лапаро- те ретроперітонеоскопія.</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Біопсія нирки, сечового міхура, простати, яєчка. </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Медико-соціальні та епідеміологічні питання урології. Поширеність урологічних захворювань. Організаційна система урологічної допомоги в Україні. </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Вади чоловічих статевих органів.</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Неспецифічні запальні захворювання нирок - інфекції сечових шляхів.  Неускладнені та ускладнені інфекції. Гострий пієлонефрит. </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Хронічний пієлонефрит. Піонефроз. Паранефрит.</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Уролітіаз. Теорії каменеутворення. Формальний та каузальний генез каменів. </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Сучасна діагностика уролітіазу.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Принципи консервативної терапії та метафілактики при різних за складом каменях.</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Ниркова коліка. Дифдіагностика. Надання невідкладної допомоги.</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Покази до хірургічного лікування сечокам'яної хвороби. Медоди хірургічного лікування нефроуретеролітіазу.  </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Калькульозна анурія. Невідкладна діагностика та лікування. Стентування сечоводів. Черезшкірнапункційнанефростомія.</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Пухлини нирок та сечоводів. Доброякісні пухлини. Нирково-клітинний рак та перехідно-клітинна карцинома (уротеліальний рак). Біологічні особливості пухлин. Принципи лікування. </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Поверхневий рак сечового міхура. Діагностика. Принципи комплексного лікування. </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Доброякісна гіперплазія простати. Класифікація. Діагностика. Показання до консервативної терапії та сучасні її можливості.</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Показання до хірургічного лікування доброякісної гіперплазії простати та можливості вибору метода операції.</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Покази до радикальної простатектомії. Методики радикальної простаектомії.</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Променева терапія раку простати. Радикальна програма та паліативна.</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Пухлини яєчка. Герменативні та негерменативні. Семіномні та несеміномні. Діагностика. Лікування. Операція Шевассю.</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Пухлини статевого члена. Діагностика. Лікування. Операція Дюкена. способи пластики статевого члена.</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Нейрогенна мікційна дисфункція. Класифікація. Діагностика. Можливості медикаментозного лікування. Показання до хірургічного лікування. </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Ушкодження сечоводів в практиці урологів, хірургів, акушерів-гінекологів. Розпізнавання. Лікувальна тактика. Можливості ендоскопічного лікування.</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Ушкодження сечівника. Класифікація. Діагностика. Поширення сечових запливів при розривах передньої та задньої уретри. Методи хірургічного лікування, дренування сечових запливів.</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Ушкодження статевого члена. Класифікація. Діагностика. Лікувальна тактика.</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Особливості надання невідкладної допомоги при поєднанні ушкоджень статевого члена і уретри.</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Травми яєчка. Класифікація. Діагностика. Лікування. операції при травмах яєчка.</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Хвороба Пейроні. Етіологія. Патогенез. Діагностика. Методи лікування. Покази до операції. Методи хірургічного лікування хворих.</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Сечостатеві нориці. Причини. Класифікація. Діагностика. Лікувальна тактика.</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Нефрогенна артеріальна гіпертензія. Причини. Класифікація. Діагностика. Лікування.</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Туберкульоз нирок. Клініко-рентгенологічна класифікація. Діагностика. Лікування протитуберкульозними лікарськими препаратами. Показання до хірургічного лікування.</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Туберкульоз сечоводів, сечового міхура. Особливості діагностики та лікування.</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Тактика при мікроцистісу тубетіології. </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Туберкульоз простати. Туберкульоз чоловічих статевих органів. Діагностика. Лікувальна тактика.</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Туберкульоз нирок. Клініко-рентгенологічна класифікація. Діагностика. Лікування протитуберкульозними лікарськими препаратами. Показання до хірургічного лікування.</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Лікарська експертиза тимчасової втрати працездатності при урологічних захворюваннях та інвалідності. </w:t>
            </w:r>
          </w:p>
        </w:tc>
      </w:tr>
    </w:tbl>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2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 Методи навчання: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пояснення, розповідь, ілюстрація, обговорення будь-якого питання навчального матеріалу, пізнавальні ігри шляхом моделювання життєвих ситуацій, що викликають інтерес до навчальних предметів.</w:t>
      </w:r>
    </w:p>
    <w:p w:rsidR="00000000" w:rsidDel="00000000" w:rsidP="00000000" w:rsidRDefault="00000000" w:rsidRPr="00000000" w14:paraId="000000CD">
      <w:pPr>
        <w:spacing w:after="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6. Підсумковий контроль дисципліни: </w:t>
      </w:r>
      <w:r w:rsidDel="00000000" w:rsidR="00000000" w:rsidRPr="00000000">
        <w:rPr>
          <w:rFonts w:ascii="Times New Roman" w:cs="Times New Roman" w:eastAsia="Times New Roman" w:hAnsi="Times New Roman"/>
          <w:sz w:val="24"/>
          <w:szCs w:val="24"/>
          <w:rtl w:val="0"/>
        </w:rPr>
        <w:t xml:space="preserve">Іспит аспіранта складається з суми поточного контролю та балів, отриманих за залікове заняття.</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Форми оцінювання: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усний контроль: основне запитання, додаткові, допоміжні; запитання у вигляді проблеми; індивідуальне, фронтальне опитування і комбіноване; письмовий контроль; програмований контроль.</w:t>
      </w:r>
    </w:p>
    <w:p w:rsidR="00000000" w:rsidDel="00000000" w:rsidP="00000000" w:rsidRDefault="00000000" w:rsidRPr="00000000" w14:paraId="000000CF">
      <w:pPr>
        <w:spacing w:after="0" w:before="1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7.Система оцінювання.</w:t>
      </w:r>
    </w:p>
    <w:p w:rsidR="00000000" w:rsidDel="00000000" w:rsidP="00000000" w:rsidRDefault="00000000" w:rsidRPr="00000000" w14:paraId="000000D0">
      <w:pPr>
        <w:spacing w:after="0" w:before="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Форма підсумкового контролю успішності навчання:</w:t>
      </w:r>
      <w:r w:rsidDel="00000000" w:rsidR="00000000" w:rsidRPr="00000000">
        <w:rPr>
          <w:rFonts w:ascii="Times New Roman" w:cs="Times New Roman" w:eastAsia="Times New Roman" w:hAnsi="Times New Roman"/>
          <w:sz w:val="24"/>
          <w:szCs w:val="24"/>
          <w:rtl w:val="0"/>
        </w:rPr>
        <w:t xml:space="preserve"> оцінка з дисципліни здобувача складається з суми балів поточного контролю та балів, отриманих за залікове заняття.</w:t>
      </w:r>
      <w:r w:rsidDel="00000000" w:rsidR="00000000" w:rsidRPr="00000000">
        <w:rPr>
          <w:rFonts w:ascii="Times New Roman" w:cs="Times New Roman" w:eastAsia="Times New Roman" w:hAnsi="Times New Roman"/>
          <w:color w:val="ff0000"/>
          <w:sz w:val="24"/>
          <w:szCs w:val="24"/>
          <w:u w:val="none"/>
          <w:rtl w:val="0"/>
        </w:rPr>
        <w:t xml:space="preserve"> </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Форма поточного контролю успішності навчання: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сума балів поточного контролю з дисципліни “Урологія”  визначається на основі оцінок поточної навчальної діяльності здобувача із всіх тем за традиційною 4-бальною системою (відмінно, добре, задовільно, незадовільно).</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12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8.Критерії оцінювання.</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single"/>
          <w:shd w:fill="auto" w:val="clear"/>
          <w:vertAlign w:val="baseline"/>
          <w:rtl w:val="0"/>
        </w:rPr>
        <w:t xml:space="preserve">Оцінка «відмінно»</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відповідь правильна, обґрунтована і в повному об’ємі навчальної програми, в логічній послідовності, підкреслено суттєві поняття, відображені дані сучасних напрямків лікування і тактики ведення хворих з основними нозологіями кардіології. Також відображено вміння аналізувати, порівнювати, класифікувати, узагальнювати, конкретизувати і систематизувати викладений матеріал, виділяти в ньому головне, встановлювати причинно-наслідкові зв’язки, вільневолодіннярезультатамилабораторних та інструментальних методів дослідження, вільне володіння методами надання невідкладної допомоги, даними протоколів надання допомоги в аспекті кардіології та методи профілактики і реабілітації.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single"/>
          <w:shd w:fill="auto" w:val="clear"/>
          <w:vertAlign w:val="baseline"/>
          <w:rtl w:val="0"/>
        </w:rPr>
        <w:t xml:space="preserve">Оцінка «добре»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відповідь дана майже в повному об’ємі програми (виявляються недостатні знанні лише в деяких, особливо складних розділах), не завжди виділено найбільш суттєве, але не допускається разом з тим серйозних помилок, відображено вміння трактувати лабораторні та інструментальні дослідження в об’ємі, який перевищує обов’язковий мінімум, володінняметодами надання невідкладної допомоги з несуттєвими помилками, знання протоколів надання допомоги при різних захворюваннях в аспекті кардіології, пропоновані методи профілактики і реабілітації.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single"/>
          <w:shd w:fill="auto" w:val="clear"/>
          <w:vertAlign w:val="baseline"/>
          <w:rtl w:val="0"/>
        </w:rPr>
        <w:t xml:space="preserve">Оцінка «задовільно»</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у відповіді відображено основний об’єм знань з дисципліни, однак використані неточні формулювання, в процесі відповіді допущені помилки по суті питань, не відображені принципи узагальнення і вміння виділити головне. У відповіді викладено лише  знання обов’язкового мінімуму, відображено нечітке оволодіння методами надання невідкладної допомоги з несуттєвими помилками, з неточностями відображені знання протоколів надання допомоги в аспекті кардіології, запропоновані методи профілактики і реабілітації з помилками.</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single"/>
          <w:shd w:fill="auto" w:val="clear"/>
          <w:vertAlign w:val="baseline"/>
          <w:rtl w:val="0"/>
        </w:rPr>
        <w:t xml:space="preserve">Оцінка «незадовільно»</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відсутні знання з обов’язкового мінімума предмету в повному об’ємі, не відображені методи надання невідкладної допомоги, або з суттєвими помилками, знання протоколів надання допомоги при різних захворюваннях в аспекті кардіологія,  не запропоновані методи профілактики і реабілітації.</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Оцінювання самостійної роботи.</w:t>
      </w:r>
      <w:r w:rsidDel="00000000" w:rsidR="00000000" w:rsidRPr="00000000">
        <w:rPr>
          <w:rtl w:val="0"/>
        </w:rPr>
      </w:r>
    </w:p>
    <w:p w:rsidR="00000000" w:rsidDel="00000000" w:rsidP="00000000" w:rsidRDefault="00000000" w:rsidRPr="00000000" w14:paraId="000000D9">
      <w:pPr>
        <w:widowControl w:val="0"/>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Оцінювання самостійної роботи аспірантів, яка передбачена в темі поряд з аудиторною роботою, здійснюється під час поточного контролю теми на відповідному практичному занятті. Оцінювання тем, які виносяться лише на самостійну роботу і не входять до тем аудиторних навчальних занять, контролюється при проведення диференційованого заліку.</w:t>
      </w:r>
    </w:p>
    <w:p w:rsidR="00000000" w:rsidDel="00000000" w:rsidP="00000000" w:rsidRDefault="00000000" w:rsidRPr="00000000" w14:paraId="000000DA">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Критерії оцінювання під час проведення іспиту: </w:t>
      </w:r>
    </w:p>
    <w:p w:rsidR="00000000" w:rsidDel="00000000" w:rsidP="00000000" w:rsidRDefault="00000000" w:rsidRPr="00000000" w14:paraId="000000D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 "відмінно" (80-71) виставляється у випадку, коли здобувач під час співбесіди та виконання отриманого завдання відповів на всі поставлені (екзаменаторами в разі іспиту) запитання з дисципліни у повному обсязі, може проілюструвати відповіді різноманітними прикладами; дає вичерпні, точні та ясні відповіді без будь-яких навідних питань; викладає матеріал без помилок; вільно вирішує задачі та виконує практичні завдання різного ступеню складності, самостійно генерує інноваційні ідеї. В межах діапазону балів оцінювання відбувається з урахуванням окремих несуттєвих неточностей. </w:t>
      </w:r>
    </w:p>
    <w:p w:rsidR="00000000" w:rsidDel="00000000" w:rsidP="00000000" w:rsidRDefault="00000000" w:rsidRPr="00000000" w14:paraId="000000D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 "добре" (70-61) виставляється за умови, коли здобувач під час співбесіди та виконання отриманого завдання добре відповідає і добре розуміє всі поставлені (екзаменаторами) запитання з дисципліни,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найважчих випадках. В межах діапазону балів оцінювання відбувається з урахуванням окремих допущених помилок. </w:t>
      </w:r>
    </w:p>
    <w:p w:rsidR="00000000" w:rsidDel="00000000" w:rsidP="00000000" w:rsidRDefault="00000000" w:rsidRPr="00000000" w14:paraId="000000D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 "задовільно" (60-50) ставиться здобувачу на основі його знань всього змісту поставлених (екзаменаторами) під час співбесіди запитань, виконав отримане завдання і продемонстрував задовільний рівень розуміння та вмінь. Здобувач спроможний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спроможний самостійно систематично викласти відповідь, але на прямо поставлені запитання відповідає правильно. В межах діапазону балів оцінювання відбувається з урахуванням кількості допущених помилок. </w:t>
      </w:r>
    </w:p>
    <w:p w:rsidR="00000000" w:rsidDel="00000000" w:rsidP="00000000" w:rsidRDefault="00000000" w:rsidRPr="00000000" w14:paraId="000000D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 "незадовільно" виставляється у випадках, коли знання і вміння здобувача не відповідають вимогам "задовільної" оцінки. </w:t>
      </w:r>
    </w:p>
    <w:p w:rsidR="00000000" w:rsidDel="00000000" w:rsidP="00000000" w:rsidRDefault="00000000" w:rsidRPr="00000000" w14:paraId="000000DF">
      <w:pPr>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Шкала оцінювання</w:t>
      </w:r>
    </w:p>
    <w:tbl>
      <w:tblPr>
        <w:tblStyle w:val="Table4"/>
        <w:tblW w:w="986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4246"/>
        <w:gridCol w:w="1079"/>
        <w:gridCol w:w="4544"/>
        <w:tblGridChange w:id="0">
          <w:tblGrid>
            <w:gridCol w:w="4246"/>
            <w:gridCol w:w="1079"/>
            <w:gridCol w:w="4544"/>
          </w:tblGrid>
        </w:tblGridChange>
      </w:tblGrid>
      <w:tr>
        <w:trPr>
          <w:cantSplit w:val="0"/>
          <w:trHeight w:val="300"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0">
            <w:pPr>
              <w:spacing w:after="0" w:line="240" w:lineRule="auto"/>
              <w:jc w:val="center"/>
              <w:rPr/>
            </w:pPr>
            <w:r w:rsidDel="00000000" w:rsidR="00000000" w:rsidRPr="00000000">
              <w:rPr>
                <w:rFonts w:ascii="Times New Roman" w:cs="Times New Roman" w:eastAsia="Times New Roman" w:hAnsi="Times New Roman"/>
                <w:b w:val="1"/>
                <w:bCs w:val="1"/>
                <w:sz w:val="24"/>
                <w:szCs w:val="24"/>
                <w:rtl w:val="0"/>
              </w:rPr>
              <w:t xml:space="preserve">Сума балів за всівидинавчальноїдіяльності</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Оцінка </w:t>
            </w:r>
            <w:r w:rsidDel="00000000" w:rsidR="00000000" w:rsidRPr="00000000">
              <w:rPr>
                <w:rtl w:val="0"/>
              </w:rPr>
            </w:r>
          </w:p>
          <w:p w:rsidR="00000000" w:rsidDel="00000000" w:rsidP="00000000" w:rsidRDefault="00000000" w:rsidRPr="00000000" w14:paraId="000000E2">
            <w:pPr>
              <w:spacing w:after="0" w:line="240" w:lineRule="auto"/>
              <w:jc w:val="center"/>
              <w:rPr/>
            </w:pPr>
            <w:r w:rsidDel="00000000" w:rsidR="00000000" w:rsidRPr="00000000">
              <w:rPr>
                <w:rFonts w:ascii="Times New Roman" w:cs="Times New Roman" w:eastAsia="Times New Roman" w:hAnsi="Times New Roman"/>
                <w:b w:val="1"/>
                <w:bCs w:val="1"/>
                <w:sz w:val="24"/>
                <w:szCs w:val="24"/>
                <w:rtl w:val="0"/>
              </w:rPr>
              <w:t xml:space="preserve">ECTS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3">
            <w:pPr>
              <w:spacing w:after="0" w:line="240" w:lineRule="auto"/>
              <w:jc w:val="center"/>
              <w:rPr/>
            </w:pPr>
            <w:r w:rsidDel="00000000" w:rsidR="00000000" w:rsidRPr="00000000">
              <w:rPr>
                <w:rFonts w:ascii="Times New Roman" w:cs="Times New Roman" w:eastAsia="Times New Roman" w:hAnsi="Times New Roman"/>
                <w:b w:val="1"/>
                <w:bCs w:val="1"/>
                <w:sz w:val="24"/>
                <w:szCs w:val="24"/>
                <w:rtl w:val="0"/>
              </w:rPr>
              <w:t xml:space="preserve">Оцінка за національною шкалою</w:t>
            </w:r>
            <w:r w:rsidDel="00000000" w:rsidR="00000000" w:rsidRPr="00000000">
              <w:rPr>
                <w:rtl w:val="0"/>
              </w:rPr>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6">
            <w:pPr>
              <w:spacing w:after="0" w:line="240" w:lineRule="auto"/>
              <w:jc w:val="center"/>
              <w:rPr/>
            </w:pPr>
            <w:r w:rsidDel="00000000" w:rsidR="00000000" w:rsidRPr="00000000">
              <w:rPr>
                <w:rFonts w:ascii="Times New Roman" w:cs="Times New Roman" w:eastAsia="Times New Roman" w:hAnsi="Times New Roman"/>
                <w:b w:val="1"/>
                <w:bCs w:val="1"/>
                <w:sz w:val="24"/>
                <w:szCs w:val="24"/>
                <w:rtl w:val="0"/>
              </w:rPr>
              <w:t xml:space="preserve">Для заліку</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7">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180-200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8">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after="0" w:line="240" w:lineRule="auto"/>
              <w:jc w:val="center"/>
              <w:rPr/>
            </w:pPr>
            <w:r w:rsidDel="00000000" w:rsidR="00000000" w:rsidRPr="00000000">
              <w:rPr>
                <w:rFonts w:ascii="Times New Roman" w:cs="Times New Roman" w:eastAsia="Times New Roman" w:hAnsi="Times New Roman"/>
                <w:b w:val="1"/>
                <w:bCs w:val="1"/>
                <w:sz w:val="24"/>
                <w:szCs w:val="24"/>
                <w:rtl w:val="0"/>
              </w:rPr>
              <w:t xml:space="preserve">зараховано</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B">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170-179,9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C">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B</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E">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160-169,9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F">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1">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141-159,9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2">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4">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120-140,99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5">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8">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FX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9">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Не зараховано з можливістю повторного складання</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B">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C">
            <w:pPr>
              <w:spacing w:after="0" w:line="240" w:lineRule="auto"/>
              <w:jc w:val="center"/>
              <w:rPr/>
            </w:pPr>
            <w:r w:rsidDel="00000000" w:rsidR="00000000" w:rsidRPr="00000000">
              <w:rPr>
                <w:rFonts w:ascii="Times New Roman" w:cs="Times New Roman" w:eastAsia="Times New Roman" w:hAnsi="Times New Roman"/>
                <w:sz w:val="24"/>
                <w:szCs w:val="24"/>
                <w:rtl w:val="0"/>
              </w:rPr>
              <w:t xml:space="preserve">Не зараховано  з обов’язковим повторним вивченням дисципліни</w:t>
            </w:r>
            <w:r w:rsidDel="00000000" w:rsidR="00000000" w:rsidRPr="00000000">
              <w:rPr>
                <w:rtl w:val="0"/>
              </w:rPr>
            </w:r>
          </w:p>
        </w:tc>
      </w:tr>
    </w:tbl>
    <w:p w:rsidR="00000000" w:rsidDel="00000000" w:rsidP="00000000" w:rsidRDefault="00000000" w:rsidRPr="00000000" w14:paraId="000000FD">
      <w:pPr>
        <w:widowControl w:val="0"/>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F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9.Методичне забезпечення (</w:t>
      </w:r>
      <w:r w:rsidDel="00000000" w:rsidR="00000000" w:rsidRPr="00000000">
        <w:rPr>
          <w:rFonts w:ascii="Times New Roman" w:cs="Times New Roman" w:eastAsia="Times New Roman" w:hAnsi="Times New Roman"/>
          <w:sz w:val="24"/>
          <w:szCs w:val="24"/>
          <w:rtl w:val="0"/>
        </w:rPr>
        <w:t xml:space="preserve">навчальний контент (конспект або розширений план лекцій), плани практичних (семінарських) занять, самостійної роботи, питання, методичні вказівки, завдання або кейси для поточного та підсумкового контролю знань і вмінь здобувачів).</w:t>
      </w:r>
    </w:p>
    <w:p w:rsidR="00000000" w:rsidDel="00000000" w:rsidP="00000000" w:rsidRDefault="00000000" w:rsidRPr="00000000" w14:paraId="000000FF">
      <w:pPr>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10.Політика навчальної дисципліни.</w:t>
      </w:r>
    </w:p>
    <w:p w:rsidR="00000000" w:rsidDel="00000000" w:rsidP="00000000" w:rsidRDefault="00000000" w:rsidRPr="00000000" w14:paraId="00000100">
      <w:pPr>
        <w:shd w:fill="ffffff" w:val="clear"/>
        <w:tabs>
          <w:tab w:val="left" w:leader="none" w:pos="365"/>
        </w:tabs>
        <w:spacing w:before="14"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Виконання навчальних завдань і робота за дисципліною має відповідати вимогам «Кодексу академічної доброчесності та корпоративної етики ВНМУ ім. М.І. Пирогова»  (</w:t>
      </w:r>
      <w:hyperlink r:id="rId8">
        <w:r w:rsidDel="00000000" w:rsidR="00000000" w:rsidRPr="00000000">
          <w:rPr>
            <w:rFonts w:ascii="Times New Roman" w:cs="Times New Roman" w:eastAsia="Times New Roman" w:hAnsi="Times New Roman"/>
            <w:color w:val="0000ff"/>
            <w:sz w:val="24"/>
            <w:szCs w:val="24"/>
            <w:u w:val="single"/>
            <w:rtl w:val="0"/>
          </w:rPr>
          <w:t xml:space="preserve">https://www.vnmu.edu.ua/downloads/other/kodex_akad_dobro.PDF</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1">
      <w:pPr>
        <w:shd w:fill="ffffff" w:val="clear"/>
        <w:tabs>
          <w:tab w:val="left" w:leader="none" w:pos="365"/>
        </w:tabs>
        <w:spacing w:before="14"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Відпрацювання пропущених аудиторних занять, повторне проходження контрольних заходів, а також процедури оскарження результатів проведення контрольних заходів  здійснюються згідно «Положення про організацію освітнього процесу для здобувачів вищої освіти ступеня доктора філософії у Вінницькому національному медичному університеті ім. М.І. Пирогова» (</w:t>
      </w:r>
      <w:hyperlink r:id="rId9">
        <w:r w:rsidDel="00000000" w:rsidR="00000000" w:rsidRPr="00000000">
          <w:rPr>
            <w:rFonts w:ascii="Times New Roman" w:cs="Times New Roman" w:eastAsia="Times New Roman" w:hAnsi="Times New Roman"/>
            <w:color w:val="0000ff"/>
            <w:sz w:val="24"/>
            <w:szCs w:val="24"/>
            <w:u w:val="single"/>
            <w:rtl w:val="0"/>
          </w:rPr>
          <w:t xml:space="preserve">https://www.vnmu.edu.ua/downloads/other/pologPhD_org.pdf</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2">
      <w:pPr>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11. Навчальні ресурси.</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5"/>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Навчально-методичне забезпечення дисципліни оприлюднено на сайті курсу. Маршрут отримання матеріалів </w:t>
      </w:r>
      <w:hyperlink r:id="rId10">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https://www.vnmu.edu.ua/курс-урології/аспіранту</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5"/>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5"/>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Література.</w:t>
      </w:r>
    </w:p>
    <w:p w:rsidR="00000000" w:rsidDel="00000000" w:rsidP="00000000" w:rsidRDefault="00000000" w:rsidRPr="00000000" w14:paraId="00000106">
      <w:pPr>
        <w:spacing w:after="120" w:before="120" w:line="24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Базова</w:t>
      </w:r>
    </w:p>
    <w:p w:rsidR="00000000" w:rsidDel="00000000" w:rsidP="00000000" w:rsidRDefault="00000000" w:rsidRPr="00000000" w14:paraId="00000107">
      <w:pPr>
        <w:spacing w:after="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С.П. Пасечніков, С.О. Возіанов, В.М. Лісовий. та ін. </w:t>
      </w:r>
      <w:r w:rsidDel="00000000" w:rsidR="00000000" w:rsidRPr="00000000">
        <w:rPr>
          <w:rFonts w:ascii="Times New Roman" w:cs="Times New Roman" w:eastAsia="Times New Roman" w:hAnsi="Times New Roman"/>
          <w:b w:val="1"/>
          <w:bCs w:val="1"/>
          <w:i w:val="1"/>
          <w:iCs w:val="1"/>
          <w:sz w:val="26"/>
          <w:szCs w:val="26"/>
          <w:rtl w:val="0"/>
        </w:rPr>
        <w:t xml:space="preserve">Урологія : підручник для студентів вищих мед. навч. закладів</w:t>
      </w:r>
      <w:r w:rsidDel="00000000" w:rsidR="00000000" w:rsidRPr="00000000">
        <w:rPr>
          <w:rFonts w:ascii="Times New Roman" w:cs="Times New Roman" w:eastAsia="Times New Roman" w:hAnsi="Times New Roman"/>
          <w:sz w:val="26"/>
          <w:szCs w:val="26"/>
          <w:rtl w:val="0"/>
        </w:rPr>
        <w:t xml:space="preserve"> ; за ред. С.П. Пасєчнікова. – Вінниця : Нова Книга, 2019. – 424 с.</w:t>
      </w:r>
    </w:p>
    <w:p w:rsidR="00000000" w:rsidDel="00000000" w:rsidP="00000000" w:rsidRDefault="00000000" w:rsidRPr="00000000" w14:paraId="00000108">
      <w:pPr>
        <w:spacing w:after="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Dmochowski R. R., Kavoussi L. R., Peters C. A. (eds.) </w:t>
      </w:r>
      <w:r w:rsidDel="00000000" w:rsidR="00000000" w:rsidRPr="00000000">
        <w:rPr>
          <w:rFonts w:ascii="Times New Roman" w:cs="Times New Roman" w:eastAsia="Times New Roman" w:hAnsi="Times New Roman"/>
          <w:b w:val="1"/>
          <w:bCs w:val="1"/>
          <w:i w:val="1"/>
          <w:iCs w:val="1"/>
          <w:sz w:val="26"/>
          <w:szCs w:val="26"/>
          <w:rtl w:val="0"/>
        </w:rPr>
        <w:t xml:space="preserve">Campbell-Walsh-Wein Urology</w:t>
      </w:r>
      <w:r w:rsidDel="00000000" w:rsidR="00000000" w:rsidRPr="00000000">
        <w:rPr>
          <w:rFonts w:ascii="Times New Roman" w:cs="Times New Roman" w:eastAsia="Times New Roman" w:hAnsi="Times New Roman"/>
          <w:sz w:val="26"/>
          <w:szCs w:val="26"/>
          <w:rtl w:val="0"/>
        </w:rPr>
        <w:t xml:space="preserve"> 13th ed. – Elsevier, 2025. – ~4092 с.</w:t>
      </w:r>
    </w:p>
    <w:p w:rsidR="00000000" w:rsidDel="00000000" w:rsidP="00000000" w:rsidRDefault="00000000" w:rsidRPr="00000000" w14:paraId="00000109">
      <w:pPr>
        <w:spacing w:after="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McAninch J. W., Lue T. F. </w:t>
      </w:r>
      <w:r w:rsidDel="00000000" w:rsidR="00000000" w:rsidRPr="00000000">
        <w:rPr>
          <w:rFonts w:ascii="Times New Roman" w:cs="Times New Roman" w:eastAsia="Times New Roman" w:hAnsi="Times New Roman"/>
          <w:b w:val="1"/>
          <w:bCs w:val="1"/>
          <w:i w:val="1"/>
          <w:iCs w:val="1"/>
          <w:sz w:val="26"/>
          <w:szCs w:val="26"/>
          <w:rtl w:val="0"/>
        </w:rPr>
        <w:t xml:space="preserve">Smith &amp; Tanagho’s General Urology</w:t>
      </w:r>
      <w:r w:rsidDel="00000000" w:rsidR="00000000" w:rsidRPr="00000000">
        <w:rPr>
          <w:rFonts w:ascii="Times New Roman" w:cs="Times New Roman" w:eastAsia="Times New Roman" w:hAnsi="Times New Roman"/>
          <w:sz w:val="26"/>
          <w:szCs w:val="26"/>
          <w:rtl w:val="0"/>
        </w:rPr>
        <w:t xml:space="preserve"> 19th ed. – McGraw-Hill Education, 2020. – 832 с.</w:t>
      </w:r>
    </w:p>
    <w:p w:rsidR="00000000" w:rsidDel="00000000" w:rsidP="00000000" w:rsidRDefault="00000000" w:rsidRPr="00000000" w14:paraId="0000010A">
      <w:pPr>
        <w:spacing w:after="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Merseburger A. S. (ed.) </w:t>
      </w:r>
      <w:r w:rsidDel="00000000" w:rsidR="00000000" w:rsidRPr="00000000">
        <w:rPr>
          <w:rFonts w:ascii="Times New Roman" w:cs="Times New Roman" w:eastAsia="Times New Roman" w:hAnsi="Times New Roman"/>
          <w:b w:val="1"/>
          <w:bCs w:val="1"/>
          <w:i w:val="1"/>
          <w:iCs w:val="1"/>
          <w:sz w:val="26"/>
          <w:szCs w:val="26"/>
          <w:rtl w:val="0"/>
        </w:rPr>
        <w:t xml:space="preserve">Urologic Oncology</w:t>
      </w:r>
      <w:r w:rsidDel="00000000" w:rsidR="00000000" w:rsidRPr="00000000">
        <w:rPr>
          <w:rFonts w:ascii="Times New Roman" w:cs="Times New Roman" w:eastAsia="Times New Roman" w:hAnsi="Times New Roman"/>
          <w:sz w:val="26"/>
          <w:szCs w:val="26"/>
          <w:rtl w:val="0"/>
        </w:rPr>
        <w:t xml:space="preserve"> – Springer, 2020. – ISBN: 9783319426228.</w:t>
      </w:r>
    </w:p>
    <w:p w:rsidR="00000000" w:rsidDel="00000000" w:rsidP="00000000" w:rsidRDefault="00000000" w:rsidRPr="00000000" w14:paraId="0000010B">
      <w:pPr>
        <w:spacing w:after="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w:t>
      </w:r>
      <w:r w:rsidDel="00000000" w:rsidR="00000000" w:rsidRPr="00000000">
        <w:rPr>
          <w:rFonts w:ascii="Times New Roman" w:cs="Times New Roman" w:eastAsia="Times New Roman" w:hAnsi="Times New Roman"/>
          <w:i w:val="1"/>
          <w:iCs w:val="1"/>
          <w:sz w:val="26"/>
          <w:szCs w:val="26"/>
          <w:rtl w:val="0"/>
        </w:rPr>
        <w:t xml:space="preserve">Urological Cancer 2023–2025</w:t>
      </w:r>
      <w:r w:rsidDel="00000000" w:rsidR="00000000" w:rsidRPr="00000000">
        <w:rPr>
          <w:rFonts w:ascii="Times New Roman" w:cs="Times New Roman" w:eastAsia="Times New Roman" w:hAnsi="Times New Roman"/>
          <w:sz w:val="26"/>
          <w:szCs w:val="26"/>
          <w:rtl w:val="0"/>
        </w:rPr>
        <w:t xml:space="preserve"> / J. I. López et al. (eds.) – MDPI Books, 2025.</w:t>
      </w:r>
    </w:p>
    <w:p w:rsidR="00000000" w:rsidDel="00000000" w:rsidP="00000000" w:rsidRDefault="00000000" w:rsidRPr="00000000" w14:paraId="0000010C">
      <w:pPr>
        <w:spacing w:after="0" w:before="12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Рекомендації Європейської асоціації урологів (EAU). Урологія / за ред. К.-А. Бахмана ; переклад укр. мовою. – Київ, 2022. – 380 с.</w:t>
      </w:r>
    </w:p>
    <w:p w:rsidR="00000000" w:rsidDel="00000000" w:rsidP="00000000" w:rsidRDefault="00000000" w:rsidRPr="00000000" w14:paraId="0000010D">
      <w:pPr>
        <w:spacing w:after="0" w:before="12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 Клінічна анатомія сечостатевих органів: навчальний посібник / За ред. В.І. Горового, В.О. Шапринського, Б.Ф. Мазорчука. - Вінниця: ТОВ "Нілан ЛТД", 2016. - 640с.</w:t>
      </w:r>
    </w:p>
    <w:p w:rsidR="00000000" w:rsidDel="00000000" w:rsidP="00000000" w:rsidRDefault="00000000" w:rsidRPr="00000000" w14:paraId="0000010E">
      <w:pPr>
        <w:spacing w:after="0" w:before="12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8) Невідкладна урологія в практиці лікарів хірургічного профілю: навчальний посібник / За ред. В.І. Горового, В.О. Шапринського, Г.В. Чайки, І.В. Барало, О.М. Капшука. - Вінниця: ТОВ "Твори", 2018. - 824с. </w:t>
      </w:r>
    </w:p>
    <w:p w:rsidR="00000000" w:rsidDel="00000000" w:rsidP="00000000" w:rsidRDefault="00000000" w:rsidRPr="00000000" w14:paraId="0000010F">
      <w:pPr>
        <w:spacing w:line="240" w:lineRule="auto"/>
        <w:ind w:left="567" w:hanging="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after="120" w:before="1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Допоміжна</w:t>
      </w:r>
    </w:p>
    <w:p w:rsidR="00000000" w:rsidDel="00000000" w:rsidP="00000000" w:rsidRDefault="00000000" w:rsidRPr="00000000" w14:paraId="0000011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Залобкова простаектомія в хірургічному лікуванні доброякісної гіперплазії простати: навчальний посібник / За ред. В.І. Горового, В.О. Шапринського, І.В. Барало, О.М. Капшука. - Вінниця: ТОВ "Твори", 2021. - 336с..</w:t>
      </w:r>
    </w:p>
    <w:p w:rsidR="00000000" w:rsidDel="00000000" w:rsidP="00000000" w:rsidRDefault="00000000" w:rsidRPr="00000000" w14:paraId="0000011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EAU Guidelines. Edn. presented at the EAU Annual Congress Milan 2021. ISBN 978-94-92671-13-4</w:t>
      </w:r>
    </w:p>
    <w:p w:rsidR="00000000" w:rsidDel="00000000" w:rsidP="00000000" w:rsidRDefault="00000000" w:rsidRPr="00000000" w14:paraId="00000113">
      <w:pPr>
        <w:shd w:fill="ffffff" w:val="clear"/>
        <w:tabs>
          <w:tab w:val="left" w:leader="none" w:pos="365"/>
        </w:tabs>
        <w:spacing w:before="14"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15. Інформаційні ресурси</w:t>
      </w:r>
      <w:r w:rsidDel="00000000" w:rsidR="00000000" w:rsidRPr="00000000">
        <w:rPr>
          <w:rtl w:val="0"/>
        </w:rPr>
      </w:r>
    </w:p>
    <w:p w:rsidR="00000000" w:rsidDel="00000000" w:rsidP="00000000" w:rsidRDefault="00000000" w:rsidRPr="00000000" w14:paraId="00000114">
      <w:pPr>
        <w:widowControl w:val="0"/>
        <w:numPr>
          <w:ilvl w:val="0"/>
          <w:numId w:val="2"/>
        </w:numPr>
        <w:shd w:fill="ffffff" w:val="clear"/>
        <w:spacing w:after="0" w:line="240" w:lineRule="auto"/>
        <w:ind w:left="365" w:hanging="36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Сайт Вінницького національного медичного університету ім.. М.І. Пирогова (</w:t>
      </w:r>
      <w:r w:rsidDel="00000000" w:rsidR="00000000" w:rsidRPr="00000000">
        <w:rPr>
          <w:rFonts w:ascii="Times New Roman" w:cs="Times New Roman" w:eastAsia="Times New Roman" w:hAnsi="Times New Roman"/>
          <w:b w:val="1"/>
          <w:bCs w:val="1"/>
          <w:sz w:val="24"/>
          <w:szCs w:val="24"/>
          <w:rtl w:val="0"/>
        </w:rPr>
        <w:t xml:space="preserve">vsmu. edu.ua).</w:t>
      </w:r>
      <w:r w:rsidDel="00000000" w:rsidR="00000000" w:rsidRPr="00000000">
        <w:rPr>
          <w:rtl w:val="0"/>
        </w:rPr>
      </w:r>
    </w:p>
    <w:p w:rsidR="00000000" w:rsidDel="00000000" w:rsidP="00000000" w:rsidRDefault="00000000" w:rsidRPr="00000000" w14:paraId="00000115">
      <w:pPr>
        <w:widowControl w:val="0"/>
        <w:numPr>
          <w:ilvl w:val="0"/>
          <w:numId w:val="2"/>
        </w:numPr>
        <w:shd w:fill="ffffff" w:val="clear"/>
        <w:spacing w:after="0" w:line="240" w:lineRule="auto"/>
        <w:ind w:left="365" w:hanging="36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сайт кафедри хірургії №1 (surgerygroup.at.ua), курсу урології (vnmu.edu.ua/department/department/2701), бібліотеки ( </w:t>
      </w:r>
      <w:r w:rsidDel="00000000" w:rsidR="00000000" w:rsidRPr="00000000">
        <w:rPr>
          <w:rFonts w:ascii="Times New Roman" w:cs="Times New Roman" w:eastAsia="Times New Roman" w:hAnsi="Times New Roman"/>
          <w:b w:val="1"/>
          <w:bCs w:val="1"/>
          <w:sz w:val="24"/>
          <w:szCs w:val="24"/>
          <w:rtl w:val="0"/>
        </w:rPr>
        <w:t xml:space="preserve">library.vsmu. edu.ua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6">
      <w:pPr>
        <w:widowControl w:val="0"/>
        <w:numPr>
          <w:ilvl w:val="0"/>
          <w:numId w:val="2"/>
        </w:numPr>
        <w:shd w:fill="ffffff" w:val="clear"/>
        <w:spacing w:after="0" w:line="240" w:lineRule="auto"/>
        <w:ind w:left="365" w:hanging="36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uroweb.org – сайт європейської асоціації урологів.</w:t>
      </w:r>
    </w:p>
    <w:p w:rsidR="00000000" w:rsidDel="00000000" w:rsidP="00000000" w:rsidRDefault="00000000" w:rsidRPr="00000000" w14:paraId="00000117">
      <w:pPr>
        <w:widowControl w:val="0"/>
        <w:numPr>
          <w:ilvl w:val="0"/>
          <w:numId w:val="2"/>
        </w:numPr>
        <w:shd w:fill="ffffff" w:val="clear"/>
        <w:spacing w:after="0" w:line="240" w:lineRule="auto"/>
        <w:ind w:left="365" w:hanging="36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https://moz.gov.ua/ - Міністерство охорони здоров'я України, реєстр медикотехнологічних</w:t>
      </w:r>
    </w:p>
    <w:p w:rsidR="00000000" w:rsidDel="00000000" w:rsidP="00000000" w:rsidRDefault="00000000" w:rsidRPr="00000000" w14:paraId="00000118">
      <w:pPr>
        <w:widowControl w:val="0"/>
        <w:shd w:fill="ffffff" w:val="clear"/>
        <w:spacing w:after="0" w:line="240" w:lineRule="auto"/>
        <w:ind w:left="36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документів</w:t>
      </w:r>
    </w:p>
    <w:p w:rsidR="00000000" w:rsidDel="00000000" w:rsidP="00000000" w:rsidRDefault="00000000" w:rsidRPr="00000000" w14:paraId="00000119">
      <w:pPr>
        <w:widowControl w:val="0"/>
        <w:numPr>
          <w:ilvl w:val="0"/>
          <w:numId w:val="2"/>
        </w:numPr>
        <w:shd w:fill="ffffff" w:val="clear"/>
        <w:spacing w:after="0" w:line="240" w:lineRule="auto"/>
        <w:ind w:left="365" w:hanging="36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http://www.nbuv.gov.ua/ - Національна бібліотека України імені В.І.Вернадського</w:t>
      </w:r>
    </w:p>
    <w:p w:rsidR="00000000" w:rsidDel="00000000" w:rsidP="00000000" w:rsidRDefault="00000000" w:rsidRPr="00000000" w14:paraId="0000011A">
      <w:pPr>
        <w:widowControl w:val="0"/>
        <w:numPr>
          <w:ilvl w:val="0"/>
          <w:numId w:val="2"/>
        </w:numPr>
        <w:shd w:fill="ffffff" w:val="clear"/>
        <w:spacing w:after="0" w:line="240" w:lineRule="auto"/>
        <w:ind w:left="365" w:hanging="36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http://www.pubmed.gov I PubMed — електронна база даних медичних і біологічних</w:t>
      </w:r>
    </w:p>
    <w:p w:rsidR="00000000" w:rsidDel="00000000" w:rsidP="00000000" w:rsidRDefault="00000000" w:rsidRPr="00000000" w14:paraId="0000011B">
      <w:pPr>
        <w:widowControl w:val="0"/>
        <w:shd w:fill="ffffff" w:val="clear"/>
        <w:spacing w:after="0" w:line="240" w:lineRule="auto"/>
        <w:ind w:left="36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публікацій</w:t>
      </w:r>
    </w:p>
    <w:p w:rsidR="00000000" w:rsidDel="00000000" w:rsidP="00000000" w:rsidRDefault="00000000" w:rsidRPr="00000000" w14:paraId="0000011C">
      <w:pPr>
        <w:widowControl w:val="0"/>
        <w:numPr>
          <w:ilvl w:val="0"/>
          <w:numId w:val="2"/>
        </w:numPr>
        <w:shd w:fill="ffffff" w:val="clear"/>
        <w:spacing w:after="0" w:line="240" w:lineRule="auto"/>
        <w:ind w:left="365" w:hanging="36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http://www.library.gov.ua/ Національна наукова медична бібліотека України</w:t>
      </w:r>
    </w:p>
    <w:p w:rsidR="00000000" w:rsidDel="00000000" w:rsidP="00000000" w:rsidRDefault="00000000" w:rsidRPr="00000000" w14:paraId="0000011D">
      <w:pPr>
        <w:widowControl w:val="0"/>
        <w:shd w:fill="ffffff" w:val="clear"/>
        <w:tabs>
          <w:tab w:val="left" w:leader="none" w:pos="365"/>
        </w:tabs>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widowControl w:val="0"/>
        <w:shd w:fill="ffffff" w:val="clear"/>
        <w:tabs>
          <w:tab w:val="left" w:leader="none" w:pos="365"/>
        </w:tabs>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widowControl w:val="0"/>
        <w:shd w:fill="ffffff" w:val="clear"/>
        <w:tabs>
          <w:tab w:val="left" w:leader="none" w:pos="365"/>
        </w:tabs>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widowControl w:val="0"/>
        <w:shd w:fill="ffffff" w:val="clear"/>
        <w:tabs>
          <w:tab w:val="left" w:leader="none" w:pos="365"/>
        </w:tabs>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913qe5y3zfzr" w:id="0"/>
      <w:bookmarkEnd w:id="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Силабус з дисципліни «Урологія» обговорено та затверджено на засіданні кафедри  (протокол №__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 від «__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29</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 _</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серпня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_2025 року</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Відповідальний за курс___________ </w:t>
        <w:tab/>
        <w:t xml:space="preserve">Барало Ігор Віталійович</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ab/>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(підпис)</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Завідувач кафедри        ___________ </w:t>
        <w:tab/>
        <w:t xml:space="preserve">Шапринський Володимир Олександрович</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ab/>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(підпис)</w:t>
      </w:r>
      <w:r w:rsidDel="00000000" w:rsidR="00000000" w:rsidRPr="00000000">
        <w:rPr>
          <w:rtl w:val="0"/>
        </w:rPr>
      </w:r>
    </w:p>
    <w:sectPr>
      <w:headerReference r:id="rId11" w:type="default"/>
      <w:footerReference r:id="rId12" w:type="default"/>
      <w:pgSz w:h="16840" w:w="11900" w:orient="portrait"/>
      <w:pgMar w:bottom="850" w:top="850" w:left="1417"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lvl w:ilvl="1">
      <w:start w:val="1"/>
      <w:numFmt w:val="decimal"/>
      <w:lvlText w:val="%2."/>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lvl w:ilvl="2">
      <w:start w:val="1"/>
      <w:numFmt w:val="decimal"/>
      <w:lvlText w:val="%3."/>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lvl w:ilvl="3">
      <w:start w:val="1"/>
      <w:numFmt w:val="decimal"/>
      <w:lvlText w:val="%4."/>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lvl w:ilvl="4">
      <w:start w:val="1"/>
      <w:numFmt w:val="decimal"/>
      <w:lvlText w:val="%5."/>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lvl w:ilvl="5">
      <w:start w:val="1"/>
      <w:numFmt w:val="decimal"/>
      <w:lvlText w:val="%6."/>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lvl w:ilvl="6">
      <w:start w:val="1"/>
      <w:numFmt w:val="decimal"/>
      <w:lvlText w:val="%7."/>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lvl w:ilvl="7">
      <w:start w:val="1"/>
      <w:numFmt w:val="decimal"/>
      <w:lvlText w:val="%8."/>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lvl w:ilvl="8">
      <w:start w:val="1"/>
      <w:numFmt w:val="decimal"/>
      <w:lvlText w:val="%9."/>
      <w:lvlJc w:val="left"/>
      <w:pPr>
        <w:ind w:left="365" w:hanging="365"/>
      </w:pPr>
      <w:rPr>
        <w:rFonts w:ascii="Times New Roman" w:cs="Times New Roman" w:eastAsia="Times New Roman" w:hAnsi="Times New Roman"/>
        <w:b w:val="0"/>
        <w:bCs w:val="0"/>
        <w:i w:val="0"/>
        <w:iCs w:val="0"/>
        <w:smallCaps w:val="0"/>
        <w:strike w:val="0"/>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name w:val="Hyperlink"/>
    <w:rPr>
      <w:u w:val="single"/>
    </w:rPr>
  </w:style>
  <w:style w:type="table" w:styleId="TableNormal" w:customStyle="1">
    <w:name w:val="Table Normal"/>
    <w:tblPr>
      <w:tblInd w:w="0.0" w:type="dxa"/>
      <w:tblCellMar>
        <w:top w:w="0.0" w:type="dxa"/>
        <w:left w:w="0.0" w:type="dxa"/>
        <w:bottom w:w="0.0" w:type="dxa"/>
        <w:right w:w="0.0" w:type="dxa"/>
      </w:tblCellMar>
    </w:tblPr>
  </w:style>
  <w:style w:type="paragraph" w:styleId="a4" w:customStyle="1">
    <w:name w:val="Колонтитули"/>
    <w:pPr>
      <w:tabs>
        <w:tab w:val="right" w:pos="9020"/>
      </w:tabs>
    </w:pPr>
    <w:rPr>
      <w:rFonts w:ascii="Helvetica Neue" w:cs="Arial Unicode MS" w:hAnsi="Helvetica Neue"/>
      <w:color w:val="000000"/>
      <w:sz w:val="24"/>
      <w:szCs w:val="24"/>
      <w14:textOutline w14:cap="flat" w14:cmpd="sng" w14:algn="ctr">
        <w14:noFill/>
        <w14:prstDash w14:val="solid"/>
        <w14:bevel/>
      </w14:textOutline>
    </w:rPr>
  </w:style>
  <w:style w:type="paragraph" w:styleId="a5">
    <w:name w:val="List Paragraph"/>
    <w:pPr>
      <w:ind w:left="720"/>
      <w:jc w:val="center"/>
    </w:pPr>
    <w:rPr>
      <w:rFonts w:cs="Arial Unicode MS"/>
      <w:color w:val="000000"/>
      <w:sz w:val="24"/>
      <w:szCs w:val="24"/>
      <w:u w:color="000000"/>
      <w:lang w:val="ru-RU"/>
    </w:rPr>
  </w:style>
  <w:style w:type="paragraph" w:styleId="a6" w:customStyle="1">
    <w:name w:val="Обычный (веб)"/>
    <w:pPr>
      <w:spacing w:after="100" w:before="100"/>
    </w:pPr>
    <w:rPr>
      <w:rFonts w:eastAsia="Times New Roman"/>
      <w:color w:val="000000"/>
      <w:sz w:val="24"/>
      <w:szCs w:val="24"/>
      <w:u w:color="000000"/>
      <w:lang w:val="ru-RU"/>
    </w:rPr>
  </w:style>
  <w:style w:type="character" w:styleId="a7" w:customStyle="1">
    <w:name w:val="Немає"/>
  </w:style>
  <w:style w:type="character" w:styleId="Hyperlink0" w:customStyle="1">
    <w:name w:val="Hyperlink.0"/>
    <w:basedOn w:val="a7"/>
    <w:rPr>
      <w:rFonts w:ascii="Times New Roman" w:cs="Times New Roman" w:eastAsia="Times New Roman" w:hAnsi="Times New Roman"/>
      <w:outline w:val="0"/>
      <w:color w:val="0000ff"/>
      <w:sz w:val="24"/>
      <w:szCs w:val="24"/>
      <w:u w:color="0000ff" w:val="single"/>
    </w:rPr>
  </w:style>
  <w:style w:type="character" w:styleId="Hyperlink1" w:customStyle="1">
    <w:name w:val="Hyperlink.1"/>
    <w:basedOn w:val="a7"/>
    <w:rPr>
      <w:outline w:val="0"/>
      <w:color w:val="0000ff"/>
      <w:u w:color="0000ff" w:val="single"/>
      <w:lang w:val="ru-RU"/>
    </w:rPr>
  </w:style>
  <w:style w:type="numbering" w:styleId="2" w:customStyle="1">
    <w:name w:val="Імпортований стиль 2"/>
    <w:pPr>
      <w:numPr>
        <w:numId w:val="1"/>
      </w:numPr>
    </w:pPr>
  </w:style>
  <w:style w:type="numbering" w:styleId="5" w:customStyle="1">
    <w:name w:val="Імпортований стиль 5"/>
    <w:rsid w:val="00B25D7A"/>
    <w:pPr>
      <w:numPr>
        <w:numId w:val="3"/>
      </w:numPr>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vnmu.edu.ua/%D0%BA%D1%83%D1%80%D1%81-%D1%83%D1%80%D0%BE%D0%BB%D0%BE%D0%B3%D1%96%D1%97/%D0%B0%D1%81%D0%BF%D1%96%D1%80%D0%B0%D0%BD%D1%82%D1%83" TargetMode="External"/><Relationship Id="rId12" Type="http://schemas.openxmlformats.org/officeDocument/2006/relationships/footer" Target="footer1.xml"/><Relationship Id="rId9" Type="http://schemas.openxmlformats.org/officeDocument/2006/relationships/hyperlink" Target="https://www.vnmu.edu.ua/downloads/other/pologPhD_org.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vnmu.edu.ua/downloads/other/kodex_akad_dobro.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uaVCwh/jwuL/i3zmPY4PcfRow==">CgMxLjAyDmguOTEzcWU1eTN6ZnpyOAByITF3enZ4LXdYYU1yZll3dU40VmxvQUtnTFhfbEdKblNDZg==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2025-12-23T00:29:00Z</dcterms:created>
</cp:coreProperties>
</file>