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4E813" w14:textId="77777777" w:rsidR="002B0634" w:rsidRDefault="00000000">
      <w:pPr>
        <w:shd w:val="clear" w:color="auto" w:fill="FFFFFF"/>
        <w:jc w:val="center"/>
        <w:rPr>
          <w:color w:val="000000"/>
          <w:sz w:val="28"/>
          <w:szCs w:val="28"/>
        </w:rPr>
      </w:pPr>
      <w:r>
        <w:rPr>
          <w:color w:val="000000"/>
          <w:sz w:val="28"/>
          <w:szCs w:val="28"/>
        </w:rPr>
        <w:t>МІНІСТЕРСТВО ОХОРОНИ ЗДОРОВ'Я УКРАЇНИ</w:t>
      </w:r>
      <w:r>
        <w:rPr>
          <w:color w:val="000000"/>
          <w:sz w:val="28"/>
          <w:szCs w:val="28"/>
        </w:rPr>
        <w:br/>
        <w:t xml:space="preserve">ВІННИЦЬКИЙ НАЦІОНАЛЬНИЙ МЕДИЧНИЙ УНІВЕРСИТЕТ </w:t>
      </w:r>
    </w:p>
    <w:p w14:paraId="420806E1" w14:textId="77777777" w:rsidR="002B0634" w:rsidRDefault="00000000">
      <w:pPr>
        <w:shd w:val="clear" w:color="auto" w:fill="FFFFFF"/>
        <w:jc w:val="center"/>
        <w:rPr>
          <w:b/>
          <w:sz w:val="28"/>
          <w:szCs w:val="28"/>
        </w:rPr>
      </w:pPr>
      <w:r>
        <w:rPr>
          <w:color w:val="000000"/>
          <w:sz w:val="28"/>
          <w:szCs w:val="28"/>
        </w:rPr>
        <w:t>ІМ. М.І.ПИРОГОВА</w:t>
      </w:r>
    </w:p>
    <w:p w14:paraId="48FCC7BF" w14:textId="77777777" w:rsidR="002B0634" w:rsidRDefault="002B0634">
      <w:pPr>
        <w:rPr>
          <w:sz w:val="28"/>
          <w:szCs w:val="28"/>
        </w:rPr>
      </w:pPr>
    </w:p>
    <w:p w14:paraId="2487B458" w14:textId="77777777" w:rsidR="002B0634" w:rsidRDefault="002B0634">
      <w:pPr>
        <w:rPr>
          <w:sz w:val="28"/>
          <w:szCs w:val="28"/>
        </w:rPr>
      </w:pPr>
    </w:p>
    <w:p w14:paraId="051E522A" w14:textId="77777777" w:rsidR="002B0634" w:rsidRDefault="002B0634">
      <w:pPr>
        <w:widowControl w:val="0"/>
        <w:jc w:val="center"/>
        <w:rPr>
          <w:color w:val="000000"/>
          <w:sz w:val="28"/>
          <w:szCs w:val="28"/>
        </w:rPr>
      </w:pPr>
    </w:p>
    <w:p w14:paraId="7742BF97" w14:textId="77777777" w:rsidR="002B0634" w:rsidRDefault="002B0634">
      <w:pPr>
        <w:widowControl w:val="0"/>
        <w:rPr>
          <w:color w:val="000000"/>
          <w:sz w:val="28"/>
          <w:szCs w:val="28"/>
        </w:rPr>
      </w:pPr>
    </w:p>
    <w:p w14:paraId="56BCF5BF" w14:textId="77777777" w:rsidR="002B0634" w:rsidRDefault="002B0634">
      <w:pPr>
        <w:widowControl w:val="0"/>
        <w:jc w:val="center"/>
        <w:rPr>
          <w:color w:val="000000"/>
          <w:sz w:val="28"/>
          <w:szCs w:val="28"/>
        </w:rPr>
      </w:pPr>
    </w:p>
    <w:tbl>
      <w:tblPr>
        <w:tblStyle w:val="a8"/>
        <w:tblW w:w="4511" w:type="dxa"/>
        <w:tblInd w:w="5229" w:type="dxa"/>
        <w:tblLayout w:type="fixed"/>
        <w:tblLook w:val="0000" w:firstRow="0" w:lastRow="0" w:firstColumn="0" w:lastColumn="0" w:noHBand="0" w:noVBand="0"/>
      </w:tblPr>
      <w:tblGrid>
        <w:gridCol w:w="4511"/>
      </w:tblGrid>
      <w:tr w:rsidR="002B0634" w14:paraId="140BB925" w14:textId="77777777">
        <w:tc>
          <w:tcPr>
            <w:tcW w:w="4511" w:type="dxa"/>
          </w:tcPr>
          <w:p w14:paraId="2A2C7DD3" w14:textId="77777777" w:rsidR="002B0634" w:rsidRDefault="00000000">
            <w:pPr>
              <w:widowControl w:val="0"/>
              <w:jc w:val="center"/>
              <w:rPr>
                <w:color w:val="000000"/>
                <w:sz w:val="22"/>
                <w:szCs w:val="22"/>
              </w:rPr>
            </w:pPr>
            <w:r>
              <w:rPr>
                <w:color w:val="000000"/>
                <w:sz w:val="22"/>
                <w:szCs w:val="22"/>
              </w:rPr>
              <w:t>«ЗАТВЕРДЖЕНО»</w:t>
            </w:r>
          </w:p>
          <w:p w14:paraId="07E3CE8A" w14:textId="77777777" w:rsidR="002B0634" w:rsidRDefault="00000000">
            <w:pPr>
              <w:widowControl w:val="0"/>
              <w:rPr>
                <w:color w:val="000000"/>
                <w:sz w:val="22"/>
                <w:szCs w:val="22"/>
              </w:rPr>
            </w:pPr>
            <w:r>
              <w:rPr>
                <w:color w:val="000000"/>
                <w:sz w:val="22"/>
                <w:szCs w:val="22"/>
              </w:rPr>
              <w:t xml:space="preserve">На методичній нараді кафедри </w:t>
            </w:r>
          </w:p>
          <w:p w14:paraId="4977312A" w14:textId="77777777" w:rsidR="002B0634" w:rsidRDefault="00000000">
            <w:pPr>
              <w:widowControl w:val="0"/>
              <w:rPr>
                <w:color w:val="000000"/>
                <w:sz w:val="22"/>
                <w:szCs w:val="22"/>
              </w:rPr>
            </w:pPr>
            <w:r>
              <w:rPr>
                <w:color w:val="000000"/>
                <w:sz w:val="22"/>
                <w:szCs w:val="22"/>
              </w:rPr>
              <w:t xml:space="preserve">терапевтичної стоматології ВНМУ </w:t>
            </w:r>
          </w:p>
          <w:p w14:paraId="7CA5F876" w14:textId="77777777" w:rsidR="002B0634" w:rsidRDefault="00000000">
            <w:pPr>
              <w:widowControl w:val="0"/>
              <w:rPr>
                <w:color w:val="000000"/>
                <w:sz w:val="22"/>
                <w:szCs w:val="22"/>
              </w:rPr>
            </w:pPr>
            <w:r>
              <w:rPr>
                <w:color w:val="000000"/>
                <w:sz w:val="22"/>
                <w:szCs w:val="22"/>
              </w:rPr>
              <w:t>ім. М.І. Пирогова</w:t>
            </w:r>
          </w:p>
          <w:p w14:paraId="0639CFC4" w14:textId="77777777" w:rsidR="002B0634" w:rsidRDefault="00000000">
            <w:pPr>
              <w:widowControl w:val="0"/>
              <w:rPr>
                <w:color w:val="000000"/>
                <w:sz w:val="22"/>
                <w:szCs w:val="22"/>
              </w:rPr>
            </w:pPr>
            <w:r>
              <w:rPr>
                <w:color w:val="000000"/>
                <w:sz w:val="22"/>
                <w:szCs w:val="22"/>
              </w:rPr>
              <w:t xml:space="preserve">Завідувач кафедри професор ЗВО </w:t>
            </w:r>
          </w:p>
          <w:p w14:paraId="72E44048" w14:textId="77777777" w:rsidR="002B0634" w:rsidRDefault="00000000">
            <w:pPr>
              <w:widowControl w:val="0"/>
              <w:rPr>
                <w:color w:val="000000"/>
                <w:sz w:val="22"/>
                <w:szCs w:val="22"/>
              </w:rPr>
            </w:pPr>
            <w:bookmarkStart w:id="0" w:name="_heading=h.cv01pli4s936" w:colFirst="0" w:colLast="0"/>
            <w:bookmarkEnd w:id="0"/>
            <w:r>
              <w:rPr>
                <w:noProof/>
                <w:sz w:val="22"/>
                <w:szCs w:val="22"/>
              </w:rPr>
              <w:drawing>
                <wp:inline distT="0" distB="0" distL="0" distR="0" wp14:anchorId="0B754071" wp14:editId="2C35D38B">
                  <wp:extent cx="511198" cy="208625"/>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11198" cy="208625"/>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3982FF32" w14:textId="77777777" w:rsidR="002B0634"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7184F083" w14:textId="77777777" w:rsidR="002B0634" w:rsidRDefault="00000000">
            <w:pPr>
              <w:widowControl w:val="0"/>
              <w:rPr>
                <w:color w:val="000000"/>
                <w:sz w:val="22"/>
                <w:szCs w:val="22"/>
              </w:rPr>
            </w:pPr>
            <w:r>
              <w:rPr>
                <w:color w:val="000000"/>
                <w:sz w:val="22"/>
                <w:szCs w:val="22"/>
              </w:rPr>
              <w:t xml:space="preserve"> Протокол №1</w:t>
            </w:r>
          </w:p>
        </w:tc>
      </w:tr>
    </w:tbl>
    <w:p w14:paraId="20CA751E" w14:textId="77777777" w:rsidR="002B0634" w:rsidRDefault="002B0634">
      <w:pPr>
        <w:widowControl w:val="0"/>
        <w:rPr>
          <w:color w:val="000000"/>
          <w:sz w:val="22"/>
          <w:szCs w:val="22"/>
        </w:rPr>
      </w:pPr>
    </w:p>
    <w:p w14:paraId="11FBCDFA" w14:textId="77777777" w:rsidR="002B0634" w:rsidRDefault="002B0634">
      <w:pPr>
        <w:widowControl w:val="0"/>
        <w:rPr>
          <w:color w:val="000000"/>
          <w:sz w:val="28"/>
          <w:szCs w:val="28"/>
        </w:rPr>
      </w:pPr>
    </w:p>
    <w:p w14:paraId="0419ADA4" w14:textId="77777777" w:rsidR="002B0634" w:rsidRDefault="002B0634">
      <w:pPr>
        <w:widowControl w:val="0"/>
        <w:rPr>
          <w:color w:val="000000"/>
          <w:sz w:val="28"/>
          <w:szCs w:val="28"/>
        </w:rPr>
      </w:pPr>
    </w:p>
    <w:p w14:paraId="68271A6F" w14:textId="77777777" w:rsidR="002B0634" w:rsidRDefault="002B0634">
      <w:pPr>
        <w:widowControl w:val="0"/>
        <w:jc w:val="center"/>
        <w:rPr>
          <w:color w:val="000000"/>
          <w:sz w:val="28"/>
          <w:szCs w:val="28"/>
        </w:rPr>
      </w:pPr>
    </w:p>
    <w:p w14:paraId="3F2DF475" w14:textId="77777777" w:rsidR="002B0634" w:rsidRDefault="00000000">
      <w:pPr>
        <w:widowControl w:val="0"/>
        <w:jc w:val="center"/>
        <w:rPr>
          <w:color w:val="000000"/>
          <w:sz w:val="28"/>
          <w:szCs w:val="28"/>
        </w:rPr>
      </w:pPr>
      <w:r>
        <w:rPr>
          <w:color w:val="000000"/>
          <w:sz w:val="28"/>
          <w:szCs w:val="28"/>
        </w:rPr>
        <w:t>МЕТОДИЧНІ РЕКОМЕНДАЦІЇ</w:t>
      </w:r>
    </w:p>
    <w:p w14:paraId="61080811" w14:textId="77777777" w:rsidR="002B0634" w:rsidRDefault="00000000">
      <w:pPr>
        <w:widowControl w:val="0"/>
        <w:jc w:val="center"/>
        <w:rPr>
          <w:color w:val="000000"/>
          <w:sz w:val="28"/>
          <w:szCs w:val="28"/>
        </w:rPr>
      </w:pPr>
      <w:r>
        <w:rPr>
          <w:color w:val="000000"/>
          <w:sz w:val="28"/>
          <w:szCs w:val="28"/>
        </w:rPr>
        <w:t xml:space="preserve"> для викладачів  та самостійної роботи лікарів – інтернів</w:t>
      </w:r>
    </w:p>
    <w:p w14:paraId="0C2A4CAB" w14:textId="77777777" w:rsidR="002B0634" w:rsidRDefault="002B0634">
      <w:pPr>
        <w:widowControl w:val="0"/>
        <w:jc w:val="center"/>
        <w:rPr>
          <w:color w:val="000000"/>
          <w:sz w:val="28"/>
          <w:szCs w:val="28"/>
        </w:rPr>
      </w:pPr>
    </w:p>
    <w:tbl>
      <w:tblPr>
        <w:tblStyle w:val="a9"/>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2B0634" w14:paraId="61E23E07" w14:textId="77777777">
        <w:tc>
          <w:tcPr>
            <w:tcW w:w="2518" w:type="dxa"/>
            <w:tcBorders>
              <w:top w:val="single" w:sz="4" w:space="0" w:color="000000"/>
              <w:left w:val="single" w:sz="4" w:space="0" w:color="000000"/>
              <w:bottom w:val="single" w:sz="4" w:space="0" w:color="000000"/>
              <w:right w:val="single" w:sz="4" w:space="0" w:color="000000"/>
            </w:tcBorders>
          </w:tcPr>
          <w:p w14:paraId="4DCC0374" w14:textId="77777777" w:rsidR="002B0634" w:rsidRDefault="00000000">
            <w:pPr>
              <w:widowControl w:val="0"/>
              <w:rPr>
                <w:color w:val="000000"/>
                <w:sz w:val="28"/>
                <w:szCs w:val="28"/>
              </w:rPr>
            </w:pPr>
            <w:r>
              <w:rPr>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26AD4FFC" w14:textId="77777777" w:rsidR="002B0634" w:rsidRDefault="00000000">
            <w:pPr>
              <w:widowControl w:val="0"/>
              <w:rPr>
                <w:color w:val="000000"/>
                <w:sz w:val="28"/>
                <w:szCs w:val="28"/>
              </w:rPr>
            </w:pPr>
            <w:r>
              <w:rPr>
                <w:color w:val="000000"/>
                <w:sz w:val="28"/>
                <w:szCs w:val="28"/>
              </w:rPr>
              <w:t>ОК 31 Терапевтична стоматологія</w:t>
            </w:r>
          </w:p>
        </w:tc>
      </w:tr>
      <w:tr w:rsidR="002B0634" w14:paraId="4BF663DB"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3F727752" w14:textId="77777777" w:rsidR="002B0634" w:rsidRDefault="00000000">
            <w:pPr>
              <w:widowControl w:val="0"/>
              <w:rPr>
                <w:color w:val="000000"/>
                <w:sz w:val="28"/>
                <w:szCs w:val="28"/>
              </w:rPr>
            </w:pPr>
            <w:r>
              <w:rPr>
                <w:color w:val="000000"/>
                <w:sz w:val="28"/>
                <w:szCs w:val="28"/>
              </w:rPr>
              <w:t>Тема заняття № 24</w:t>
            </w:r>
          </w:p>
        </w:tc>
        <w:tc>
          <w:tcPr>
            <w:tcW w:w="7053" w:type="dxa"/>
            <w:tcBorders>
              <w:top w:val="single" w:sz="4" w:space="0" w:color="000000"/>
              <w:left w:val="single" w:sz="4" w:space="0" w:color="000000"/>
              <w:bottom w:val="single" w:sz="4" w:space="0" w:color="000000"/>
              <w:right w:val="single" w:sz="4" w:space="0" w:color="000000"/>
            </w:tcBorders>
          </w:tcPr>
          <w:p w14:paraId="25586A65" w14:textId="77777777" w:rsidR="002B0634" w:rsidRDefault="00000000">
            <w:pPr>
              <w:rPr>
                <w:color w:val="000000"/>
                <w:sz w:val="28"/>
                <w:szCs w:val="28"/>
              </w:rPr>
            </w:pPr>
            <w:r>
              <w:rPr>
                <w:sz w:val="28"/>
                <w:szCs w:val="28"/>
              </w:rPr>
              <w:t>Сучасні уявлення про етіологію та патогенез захворювань пародонту.</w:t>
            </w:r>
          </w:p>
        </w:tc>
      </w:tr>
      <w:tr w:rsidR="002B0634" w14:paraId="78D06C12" w14:textId="77777777">
        <w:tc>
          <w:tcPr>
            <w:tcW w:w="2518" w:type="dxa"/>
            <w:tcBorders>
              <w:top w:val="single" w:sz="4" w:space="0" w:color="000000"/>
              <w:left w:val="single" w:sz="4" w:space="0" w:color="000000"/>
              <w:bottom w:val="single" w:sz="4" w:space="0" w:color="000000"/>
              <w:right w:val="single" w:sz="4" w:space="0" w:color="000000"/>
            </w:tcBorders>
          </w:tcPr>
          <w:p w14:paraId="4661A71E" w14:textId="77777777" w:rsidR="002B0634" w:rsidRDefault="00000000">
            <w:pPr>
              <w:widowControl w:val="0"/>
              <w:rPr>
                <w:color w:val="000000"/>
                <w:sz w:val="28"/>
                <w:szCs w:val="28"/>
              </w:rPr>
            </w:pPr>
            <w:r>
              <w:rPr>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2B550C95" w14:textId="77777777" w:rsidR="002B0634" w:rsidRDefault="00000000">
            <w:pPr>
              <w:widowControl w:val="0"/>
              <w:rPr>
                <w:color w:val="000000"/>
                <w:sz w:val="28"/>
                <w:szCs w:val="28"/>
              </w:rPr>
            </w:pPr>
            <w:r>
              <w:rPr>
                <w:color w:val="000000"/>
                <w:sz w:val="28"/>
                <w:szCs w:val="28"/>
              </w:rPr>
              <w:t>інтернатура</w:t>
            </w:r>
          </w:p>
        </w:tc>
      </w:tr>
      <w:tr w:rsidR="002B0634" w14:paraId="51838C7C" w14:textId="77777777">
        <w:tc>
          <w:tcPr>
            <w:tcW w:w="2518" w:type="dxa"/>
            <w:tcBorders>
              <w:top w:val="single" w:sz="4" w:space="0" w:color="000000"/>
              <w:left w:val="single" w:sz="4" w:space="0" w:color="000000"/>
              <w:bottom w:val="single" w:sz="4" w:space="0" w:color="000000"/>
              <w:right w:val="single" w:sz="4" w:space="0" w:color="000000"/>
            </w:tcBorders>
          </w:tcPr>
          <w:p w14:paraId="6ECED45D" w14:textId="77777777" w:rsidR="002B0634" w:rsidRDefault="00000000">
            <w:pPr>
              <w:widowControl w:val="0"/>
              <w:rPr>
                <w:color w:val="000000"/>
                <w:sz w:val="28"/>
                <w:szCs w:val="28"/>
              </w:rPr>
            </w:pPr>
            <w:r>
              <w:rPr>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FB5EE4C" w14:textId="77777777" w:rsidR="002B0634" w:rsidRDefault="00000000">
            <w:pPr>
              <w:widowControl w:val="0"/>
              <w:rPr>
                <w:color w:val="000000"/>
                <w:sz w:val="28"/>
                <w:szCs w:val="28"/>
              </w:rPr>
            </w:pPr>
            <w:r>
              <w:rPr>
                <w:color w:val="000000"/>
                <w:sz w:val="28"/>
                <w:szCs w:val="28"/>
              </w:rPr>
              <w:t>стоматологічний</w:t>
            </w:r>
          </w:p>
        </w:tc>
      </w:tr>
      <w:tr w:rsidR="002B0634" w14:paraId="6AB7AB68" w14:textId="77777777">
        <w:tc>
          <w:tcPr>
            <w:tcW w:w="2518" w:type="dxa"/>
            <w:tcBorders>
              <w:top w:val="single" w:sz="4" w:space="0" w:color="000000"/>
              <w:left w:val="single" w:sz="4" w:space="0" w:color="000000"/>
              <w:bottom w:val="single" w:sz="4" w:space="0" w:color="000000"/>
              <w:right w:val="single" w:sz="4" w:space="0" w:color="000000"/>
            </w:tcBorders>
          </w:tcPr>
          <w:p w14:paraId="3EB157B3" w14:textId="77777777" w:rsidR="002B0634" w:rsidRDefault="00000000">
            <w:pPr>
              <w:widowControl w:val="0"/>
              <w:rPr>
                <w:color w:val="000000"/>
                <w:sz w:val="28"/>
                <w:szCs w:val="28"/>
              </w:rPr>
            </w:pPr>
            <w:r>
              <w:rPr>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347E4206" w14:textId="77777777" w:rsidR="002B0634"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23379CB5" w14:textId="77777777" w:rsidR="002B0634" w:rsidRDefault="002B0634">
      <w:pPr>
        <w:widowControl w:val="0"/>
        <w:ind w:firstLine="709"/>
        <w:jc w:val="both"/>
        <w:rPr>
          <w:color w:val="000000"/>
          <w:sz w:val="28"/>
          <w:szCs w:val="28"/>
        </w:rPr>
      </w:pPr>
    </w:p>
    <w:p w14:paraId="2783A31F" w14:textId="77777777" w:rsidR="002B0634" w:rsidRDefault="002B0634">
      <w:pPr>
        <w:widowControl w:val="0"/>
        <w:ind w:firstLine="709"/>
        <w:jc w:val="both"/>
        <w:rPr>
          <w:color w:val="000000"/>
          <w:sz w:val="28"/>
          <w:szCs w:val="28"/>
        </w:rPr>
      </w:pPr>
    </w:p>
    <w:p w14:paraId="0015AE2A" w14:textId="77777777" w:rsidR="002B0634" w:rsidRDefault="002B0634">
      <w:pPr>
        <w:widowControl w:val="0"/>
        <w:jc w:val="both"/>
        <w:rPr>
          <w:color w:val="000000"/>
          <w:sz w:val="28"/>
          <w:szCs w:val="28"/>
        </w:rPr>
      </w:pPr>
    </w:p>
    <w:p w14:paraId="5AC722D3" w14:textId="77777777" w:rsidR="002B0634" w:rsidRDefault="002B0634">
      <w:pPr>
        <w:widowControl w:val="0"/>
        <w:jc w:val="both"/>
        <w:rPr>
          <w:color w:val="000000"/>
          <w:sz w:val="28"/>
          <w:szCs w:val="28"/>
        </w:rPr>
      </w:pPr>
    </w:p>
    <w:p w14:paraId="248FE0E2" w14:textId="77777777" w:rsidR="002B0634" w:rsidRDefault="002B0634">
      <w:pPr>
        <w:widowControl w:val="0"/>
        <w:ind w:firstLine="709"/>
        <w:jc w:val="both"/>
        <w:rPr>
          <w:color w:val="000000"/>
          <w:sz w:val="28"/>
          <w:szCs w:val="28"/>
        </w:rPr>
      </w:pPr>
    </w:p>
    <w:p w14:paraId="3EB2F241" w14:textId="77777777" w:rsidR="002B0634" w:rsidRDefault="002B0634">
      <w:pPr>
        <w:widowControl w:val="0"/>
        <w:rPr>
          <w:color w:val="000000"/>
          <w:sz w:val="28"/>
          <w:szCs w:val="28"/>
        </w:rPr>
      </w:pPr>
    </w:p>
    <w:p w14:paraId="72046B45" w14:textId="77777777" w:rsidR="002B0634" w:rsidRDefault="002B0634">
      <w:pPr>
        <w:widowControl w:val="0"/>
        <w:rPr>
          <w:color w:val="000000"/>
          <w:sz w:val="28"/>
          <w:szCs w:val="28"/>
        </w:rPr>
      </w:pPr>
    </w:p>
    <w:p w14:paraId="2E943718" w14:textId="77777777" w:rsidR="002B0634" w:rsidRDefault="002B0634">
      <w:pPr>
        <w:widowControl w:val="0"/>
        <w:rPr>
          <w:color w:val="000000"/>
          <w:sz w:val="28"/>
          <w:szCs w:val="28"/>
        </w:rPr>
      </w:pPr>
    </w:p>
    <w:p w14:paraId="07126578" w14:textId="77777777" w:rsidR="002B0634" w:rsidRDefault="002B0634">
      <w:pPr>
        <w:widowControl w:val="0"/>
        <w:rPr>
          <w:color w:val="000000"/>
          <w:sz w:val="28"/>
          <w:szCs w:val="28"/>
        </w:rPr>
      </w:pPr>
    </w:p>
    <w:p w14:paraId="67CB6696" w14:textId="77777777" w:rsidR="002B0634" w:rsidRDefault="002B0634">
      <w:pPr>
        <w:widowControl w:val="0"/>
        <w:rPr>
          <w:color w:val="000000"/>
          <w:sz w:val="28"/>
          <w:szCs w:val="28"/>
        </w:rPr>
      </w:pPr>
    </w:p>
    <w:p w14:paraId="012B78F7" w14:textId="77777777" w:rsidR="002B0634" w:rsidRDefault="002B0634">
      <w:pPr>
        <w:widowControl w:val="0"/>
        <w:rPr>
          <w:color w:val="000000"/>
          <w:sz w:val="28"/>
          <w:szCs w:val="28"/>
        </w:rPr>
      </w:pPr>
    </w:p>
    <w:p w14:paraId="7BCC417E" w14:textId="77777777" w:rsidR="002B0634" w:rsidRDefault="002B0634">
      <w:pPr>
        <w:widowControl w:val="0"/>
        <w:rPr>
          <w:color w:val="000000"/>
          <w:sz w:val="28"/>
          <w:szCs w:val="28"/>
        </w:rPr>
      </w:pPr>
    </w:p>
    <w:p w14:paraId="65F96D97" w14:textId="77777777" w:rsidR="002B0634" w:rsidRDefault="002B0634">
      <w:pPr>
        <w:widowControl w:val="0"/>
        <w:ind w:firstLine="709"/>
        <w:jc w:val="center"/>
        <w:rPr>
          <w:color w:val="000000"/>
          <w:sz w:val="28"/>
          <w:szCs w:val="28"/>
        </w:rPr>
      </w:pPr>
    </w:p>
    <w:p w14:paraId="2CEE381C" w14:textId="77777777" w:rsidR="002B0634" w:rsidRDefault="002B0634">
      <w:pPr>
        <w:widowControl w:val="0"/>
        <w:ind w:firstLine="709"/>
        <w:jc w:val="center"/>
        <w:rPr>
          <w:color w:val="000000"/>
          <w:sz w:val="28"/>
          <w:szCs w:val="28"/>
        </w:rPr>
      </w:pPr>
    </w:p>
    <w:p w14:paraId="49EB667C" w14:textId="77777777" w:rsidR="002B0634" w:rsidRDefault="002B0634">
      <w:pPr>
        <w:widowControl w:val="0"/>
        <w:ind w:firstLine="709"/>
        <w:jc w:val="center"/>
        <w:rPr>
          <w:color w:val="000000"/>
          <w:sz w:val="28"/>
          <w:szCs w:val="28"/>
        </w:rPr>
      </w:pPr>
    </w:p>
    <w:p w14:paraId="66C7747E" w14:textId="77777777" w:rsidR="002B0634" w:rsidRDefault="00000000">
      <w:pPr>
        <w:widowControl w:val="0"/>
        <w:jc w:val="center"/>
        <w:rPr>
          <w:color w:val="000000"/>
          <w:sz w:val="28"/>
          <w:szCs w:val="28"/>
        </w:rPr>
      </w:pPr>
      <w:r>
        <w:rPr>
          <w:color w:val="000000"/>
          <w:sz w:val="28"/>
          <w:szCs w:val="28"/>
        </w:rPr>
        <w:t>Вінниця – 202</w:t>
      </w:r>
      <w:r>
        <w:rPr>
          <w:sz w:val="28"/>
          <w:szCs w:val="28"/>
        </w:rPr>
        <w:t>5</w:t>
      </w:r>
    </w:p>
    <w:p w14:paraId="0CCCF0A0" w14:textId="77777777" w:rsidR="002B0634" w:rsidRDefault="002B0634">
      <w:pPr>
        <w:widowControl w:val="0"/>
        <w:jc w:val="center"/>
        <w:rPr>
          <w:color w:val="000000"/>
          <w:sz w:val="28"/>
          <w:szCs w:val="28"/>
        </w:rPr>
      </w:pPr>
    </w:p>
    <w:p w14:paraId="2D37DE5A" w14:textId="77777777" w:rsidR="002B0634" w:rsidRDefault="002B0634">
      <w:pPr>
        <w:widowControl w:val="0"/>
        <w:jc w:val="center"/>
        <w:rPr>
          <w:color w:val="000000"/>
          <w:sz w:val="28"/>
          <w:szCs w:val="28"/>
        </w:rPr>
      </w:pPr>
    </w:p>
    <w:p w14:paraId="5359ED53" w14:textId="77777777" w:rsidR="002B0634" w:rsidRDefault="00000000">
      <w:pPr>
        <w:jc w:val="center"/>
        <w:rPr>
          <w:b/>
          <w:sz w:val="28"/>
          <w:szCs w:val="28"/>
        </w:rPr>
      </w:pPr>
      <w:r>
        <w:rPr>
          <w:b/>
          <w:sz w:val="28"/>
          <w:szCs w:val="28"/>
        </w:rPr>
        <w:lastRenderedPageBreak/>
        <w:t>Тема 24.</w:t>
      </w:r>
    </w:p>
    <w:p w14:paraId="3BF25FB2" w14:textId="77777777" w:rsidR="002B0634" w:rsidRDefault="00000000">
      <w:pPr>
        <w:jc w:val="center"/>
        <w:rPr>
          <w:b/>
          <w:sz w:val="28"/>
          <w:szCs w:val="28"/>
        </w:rPr>
      </w:pPr>
      <w:r>
        <w:rPr>
          <w:b/>
          <w:sz w:val="28"/>
          <w:szCs w:val="28"/>
        </w:rPr>
        <w:t>СУЧАСНІ УЯВЛЕННЯ ПРО ЕТІОЛОГІЮ ТА ПАТОГЕНЕЗ ЗАХВОРЮВАНЬ ПАРОДОНТУ.</w:t>
      </w:r>
    </w:p>
    <w:p w14:paraId="5C4E01A2" w14:textId="77777777" w:rsidR="002B0634" w:rsidRDefault="002B0634">
      <w:pPr>
        <w:jc w:val="center"/>
        <w:rPr>
          <w:b/>
          <w:sz w:val="28"/>
          <w:szCs w:val="28"/>
        </w:rPr>
      </w:pPr>
    </w:p>
    <w:p w14:paraId="37A1991D" w14:textId="77777777" w:rsidR="002B0634" w:rsidRDefault="00000000">
      <w:pPr>
        <w:jc w:val="both"/>
        <w:rPr>
          <w:b/>
          <w:sz w:val="28"/>
          <w:szCs w:val="28"/>
        </w:rPr>
      </w:pPr>
      <w:r>
        <w:rPr>
          <w:b/>
          <w:sz w:val="28"/>
          <w:szCs w:val="28"/>
        </w:rPr>
        <w:t>Мета практичного заняття:</w:t>
      </w:r>
    </w:p>
    <w:p w14:paraId="4D7BD1A4" w14:textId="77777777" w:rsidR="002B0634" w:rsidRDefault="00000000">
      <w:pPr>
        <w:jc w:val="both"/>
        <w:rPr>
          <w:b/>
          <w:i/>
          <w:sz w:val="28"/>
          <w:szCs w:val="28"/>
        </w:rPr>
      </w:pPr>
      <w:r>
        <w:rPr>
          <w:b/>
          <w:i/>
          <w:sz w:val="28"/>
          <w:szCs w:val="28"/>
        </w:rPr>
        <w:t>Загальна:</w:t>
      </w:r>
      <w:r>
        <w:rPr>
          <w:sz w:val="28"/>
          <w:szCs w:val="28"/>
        </w:rPr>
        <w:t xml:space="preserve"> вивчити сучасні уявлення про етіологію та патогенез захворювань пародонту</w:t>
      </w:r>
      <w:r>
        <w:rPr>
          <w:b/>
          <w:i/>
          <w:sz w:val="28"/>
          <w:szCs w:val="28"/>
        </w:rPr>
        <w:t xml:space="preserve"> </w:t>
      </w:r>
    </w:p>
    <w:p w14:paraId="22264DD5" w14:textId="77777777" w:rsidR="002B0634" w:rsidRDefault="00000000">
      <w:pPr>
        <w:jc w:val="both"/>
        <w:rPr>
          <w:b/>
          <w:i/>
          <w:sz w:val="28"/>
          <w:szCs w:val="28"/>
        </w:rPr>
      </w:pPr>
      <w:r>
        <w:rPr>
          <w:b/>
          <w:i/>
          <w:sz w:val="28"/>
          <w:szCs w:val="28"/>
        </w:rPr>
        <w:t>Конкретна:</w:t>
      </w:r>
      <w:r>
        <w:rPr>
          <w:sz w:val="28"/>
          <w:szCs w:val="28"/>
        </w:rPr>
        <w:t xml:space="preserve"> засвоїти сучасні уявлення про етіологію та патогенез захворювань пародонту</w:t>
      </w:r>
      <w:r>
        <w:rPr>
          <w:b/>
          <w:i/>
          <w:sz w:val="28"/>
          <w:szCs w:val="28"/>
        </w:rPr>
        <w:t xml:space="preserve"> </w:t>
      </w:r>
    </w:p>
    <w:p w14:paraId="3284A245" w14:textId="77777777" w:rsidR="002B0634" w:rsidRDefault="00000000">
      <w:pPr>
        <w:jc w:val="both"/>
        <w:rPr>
          <w:b/>
          <w:sz w:val="28"/>
          <w:szCs w:val="28"/>
        </w:rPr>
      </w:pPr>
      <w:r>
        <w:rPr>
          <w:b/>
          <w:sz w:val="28"/>
          <w:szCs w:val="28"/>
        </w:rPr>
        <w:t>Завдання на формування початкового рівня знань:</w:t>
      </w:r>
    </w:p>
    <w:p w14:paraId="25520C42" w14:textId="77777777" w:rsidR="002B0634" w:rsidRDefault="00000000">
      <w:pPr>
        <w:jc w:val="both"/>
        <w:rPr>
          <w:sz w:val="28"/>
          <w:szCs w:val="28"/>
        </w:rPr>
      </w:pPr>
      <w:r>
        <w:rPr>
          <w:sz w:val="28"/>
          <w:szCs w:val="28"/>
        </w:rPr>
        <w:t>1.Анатомічні, фізіологічні і гістологічні особливості будови тканин пародонту.</w:t>
      </w:r>
    </w:p>
    <w:p w14:paraId="57ACF5A0" w14:textId="77777777" w:rsidR="002B0634" w:rsidRDefault="00000000">
      <w:pPr>
        <w:jc w:val="both"/>
        <w:rPr>
          <w:sz w:val="28"/>
          <w:szCs w:val="28"/>
        </w:rPr>
      </w:pPr>
      <w:r>
        <w:rPr>
          <w:sz w:val="28"/>
          <w:szCs w:val="28"/>
        </w:rPr>
        <w:t>2. Динаміку біологічної системи тканин пародонту.</w:t>
      </w:r>
    </w:p>
    <w:p w14:paraId="2157D710" w14:textId="77777777" w:rsidR="002B0634" w:rsidRDefault="00000000">
      <w:pPr>
        <w:jc w:val="both"/>
        <w:rPr>
          <w:sz w:val="28"/>
          <w:szCs w:val="28"/>
        </w:rPr>
      </w:pPr>
      <w:r>
        <w:rPr>
          <w:sz w:val="28"/>
          <w:szCs w:val="28"/>
        </w:rPr>
        <w:t>3.Класифікації захворювань пародонту.</w:t>
      </w:r>
    </w:p>
    <w:p w14:paraId="41E255C8" w14:textId="77777777" w:rsidR="002B0634" w:rsidRDefault="00000000">
      <w:pPr>
        <w:jc w:val="both"/>
        <w:rPr>
          <w:color w:val="FF0000"/>
          <w:sz w:val="28"/>
          <w:szCs w:val="28"/>
        </w:rPr>
      </w:pPr>
      <w:r>
        <w:rPr>
          <w:sz w:val="28"/>
          <w:szCs w:val="28"/>
        </w:rPr>
        <w:t xml:space="preserve">4. Основні та додаткові методи обстеження </w:t>
      </w:r>
      <w:proofErr w:type="spellStart"/>
      <w:r>
        <w:rPr>
          <w:sz w:val="28"/>
          <w:szCs w:val="28"/>
        </w:rPr>
        <w:t>пародонтологічних</w:t>
      </w:r>
      <w:proofErr w:type="spellEnd"/>
      <w:r>
        <w:rPr>
          <w:sz w:val="28"/>
          <w:szCs w:val="28"/>
        </w:rPr>
        <w:t xml:space="preserve"> хворих. </w:t>
      </w:r>
    </w:p>
    <w:p w14:paraId="2301B2C0" w14:textId="77777777" w:rsidR="002B0634" w:rsidRDefault="002B0634">
      <w:pPr>
        <w:rPr>
          <w:sz w:val="28"/>
          <w:szCs w:val="28"/>
        </w:rPr>
      </w:pPr>
    </w:p>
    <w:p w14:paraId="1333221B" w14:textId="77777777" w:rsidR="002B0634" w:rsidRDefault="00000000">
      <w:pPr>
        <w:jc w:val="both"/>
        <w:rPr>
          <w:b/>
          <w:sz w:val="26"/>
          <w:szCs w:val="26"/>
        </w:rPr>
      </w:pPr>
      <w:r>
        <w:rPr>
          <w:b/>
          <w:sz w:val="26"/>
          <w:szCs w:val="26"/>
        </w:rPr>
        <w:t>Література:</w:t>
      </w:r>
    </w:p>
    <w:p w14:paraId="2BB01BAF" w14:textId="77777777" w:rsidR="002B0634" w:rsidRDefault="00000000">
      <w:pPr>
        <w:numPr>
          <w:ilvl w:val="0"/>
          <w:numId w:val="12"/>
        </w:numPr>
        <w:tabs>
          <w:tab w:val="center" w:pos="851"/>
        </w:tabs>
        <w:ind w:hanging="360"/>
        <w:jc w:val="both"/>
      </w:pPr>
      <w:r>
        <w:rPr>
          <w:sz w:val="26"/>
          <w:szCs w:val="26"/>
        </w:rPr>
        <w:t xml:space="preserve"> </w:t>
      </w:r>
      <w:r>
        <w:t xml:space="preserve">Стоматологічні захворювання: терапевтична стоматологія: підручник / А.В. Борисенко, М.Ю. Антоненко, Л.В. </w:t>
      </w:r>
      <w:proofErr w:type="spellStart"/>
      <w:r>
        <w:t>Линовицька</w:t>
      </w:r>
      <w:proofErr w:type="spellEnd"/>
      <w:r>
        <w:t xml:space="preserve"> та ін.; за ред. А.В. Борисенка. – К. : ВСВ “Медицина”, 2017. – 664 с</w:t>
      </w:r>
    </w:p>
    <w:p w14:paraId="1E22D30E" w14:textId="77777777" w:rsidR="002B0634" w:rsidRDefault="00000000">
      <w:pPr>
        <w:numPr>
          <w:ilvl w:val="0"/>
          <w:numId w:val="12"/>
        </w:numPr>
        <w:tabs>
          <w:tab w:val="center" w:pos="851"/>
        </w:tabs>
        <w:ind w:hanging="360"/>
        <w:jc w:val="both"/>
      </w:pPr>
      <w:r>
        <w:t xml:space="preserve"> Терапевтична стоматологія: підручник у 4т.-Т.4.Захворювання слизової оболонки порожнини рота /</w:t>
      </w:r>
      <w:proofErr w:type="spellStart"/>
      <w:r>
        <w:t>М.Ф.Данилевський,А.В.Борисенко,О.Ф.Несин</w:t>
      </w:r>
      <w:proofErr w:type="spellEnd"/>
      <w:r>
        <w:t xml:space="preserve"> та ін.-Вид.2-ВСВ “Медицина” 2021.-640с.</w:t>
      </w:r>
    </w:p>
    <w:p w14:paraId="390788B1" w14:textId="77777777" w:rsidR="002B0634" w:rsidRDefault="00000000">
      <w:pPr>
        <w:numPr>
          <w:ilvl w:val="0"/>
          <w:numId w:val="12"/>
        </w:numPr>
        <w:tabs>
          <w:tab w:val="center" w:pos="851"/>
        </w:tabs>
        <w:ind w:hanging="360"/>
        <w:jc w:val="both"/>
      </w:pPr>
      <w:r>
        <w:t xml:space="preserve">Збірник алгоритмів виконання практичних навичок при проведенні атестації </w:t>
      </w:r>
      <w:proofErr w:type="spellStart"/>
      <w:r>
        <w:t>випусників</w:t>
      </w:r>
      <w:proofErr w:type="spellEnd"/>
      <w:r>
        <w:t xml:space="preserve"> за спеціальністю “Стоматологія” Навчальний посібник; </w:t>
      </w:r>
      <w:proofErr w:type="spellStart"/>
      <w:r>
        <w:t>М.М.Рожко</w:t>
      </w:r>
      <w:proofErr w:type="spellEnd"/>
      <w:r>
        <w:t xml:space="preserve">, </w:t>
      </w:r>
      <w:proofErr w:type="spellStart"/>
      <w:r>
        <w:t>Г.М.Ерстенюк</w:t>
      </w:r>
      <w:proofErr w:type="spellEnd"/>
      <w:r>
        <w:t xml:space="preserve">, </w:t>
      </w:r>
      <w:proofErr w:type="spellStart"/>
      <w:r>
        <w:t>О.В.Бугерчук</w:t>
      </w:r>
      <w:proofErr w:type="spellEnd"/>
      <w:r>
        <w:t xml:space="preserve"> та </w:t>
      </w:r>
      <w:proofErr w:type="spellStart"/>
      <w:r>
        <w:t>ін</w:t>
      </w:r>
      <w:proofErr w:type="spellEnd"/>
      <w:r>
        <w:t xml:space="preserve"> – Івано-Франківськ: Видавництво ІФНМУ, 2020.-356 с. </w:t>
      </w:r>
    </w:p>
    <w:p w14:paraId="7113C883" w14:textId="77777777" w:rsidR="002B0634" w:rsidRDefault="00000000">
      <w:pPr>
        <w:numPr>
          <w:ilvl w:val="0"/>
          <w:numId w:val="12"/>
        </w:numPr>
        <w:tabs>
          <w:tab w:val="center" w:pos="851"/>
        </w:tabs>
        <w:ind w:hanging="360"/>
        <w:jc w:val="both"/>
      </w:pPr>
      <w:r>
        <w:t xml:space="preserve">Захворювання слизової оболонки ротової порожнини: навчальний посібник (ВНЗ IV р. а.) / І.І. Кириленко, І.В. </w:t>
      </w:r>
      <w:proofErr w:type="spellStart"/>
      <w:r>
        <w:t>Палійчук</w:t>
      </w:r>
      <w:proofErr w:type="spellEnd"/>
      <w:r>
        <w:t>, М.М. Рожко-К.: «Медицина»,2016.-362 с</w:t>
      </w:r>
    </w:p>
    <w:p w14:paraId="1F003E1B" w14:textId="77777777" w:rsidR="002B0634" w:rsidRDefault="00000000">
      <w:pPr>
        <w:numPr>
          <w:ilvl w:val="0"/>
          <w:numId w:val="12"/>
        </w:numPr>
        <w:tabs>
          <w:tab w:val="center" w:pos="851"/>
        </w:tabs>
        <w:ind w:hanging="360"/>
        <w:jc w:val="both"/>
      </w:pPr>
      <w:r>
        <w:t>Терапевтична</w:t>
      </w:r>
      <w:r>
        <w:rPr>
          <w:b/>
        </w:rPr>
        <w:t xml:space="preserve"> </w:t>
      </w:r>
      <w: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675B56AA" w14:textId="77777777" w:rsidR="002B0634" w:rsidRDefault="00000000">
      <w:pPr>
        <w:numPr>
          <w:ilvl w:val="0"/>
          <w:numId w:val="12"/>
        </w:numPr>
        <w:tabs>
          <w:tab w:val="center" w:pos="851"/>
        </w:tabs>
        <w:ind w:hanging="360"/>
        <w:jc w:val="both"/>
      </w:pPr>
      <w:r>
        <w:t>Додаткові методи обстеження у стоматології: навчальний посібник [</w:t>
      </w:r>
      <w:proofErr w:type="spellStart"/>
      <w:r>
        <w:t>Гасюк</w:t>
      </w:r>
      <w:proofErr w:type="spellEnd"/>
      <w:r>
        <w:t xml:space="preserve"> Н.В., Черняк В.В., </w:t>
      </w:r>
      <w:proofErr w:type="spellStart"/>
      <w:r>
        <w:t>Клітинська</w:t>
      </w:r>
      <w:proofErr w:type="spellEnd"/>
      <w:r>
        <w:t xml:space="preserve"> О.В., Бородач В.О. та ін.] – Тернопіль: 2017.- 120 с</w:t>
      </w:r>
    </w:p>
    <w:p w14:paraId="3618B530" w14:textId="77777777" w:rsidR="002B0634" w:rsidRDefault="00000000">
      <w:pPr>
        <w:numPr>
          <w:ilvl w:val="0"/>
          <w:numId w:val="12"/>
        </w:numPr>
        <w:tabs>
          <w:tab w:val="center" w:pos="851"/>
        </w:tabs>
        <w:ind w:hanging="360"/>
        <w:jc w:val="both"/>
      </w:pPr>
      <w:r>
        <w:t xml:space="preserve"> Батіг В.М. Систематизоване викладення змісту навчальної дисципліни «Терапевтична стоматологія». Навчальний посібник. / </w:t>
      </w:r>
      <w:proofErr w:type="spellStart"/>
      <w:r>
        <w:t>В.М.Батіг</w:t>
      </w:r>
      <w:proofErr w:type="spellEnd"/>
      <w:r>
        <w:t xml:space="preserve">, </w:t>
      </w:r>
      <w:proofErr w:type="spellStart"/>
      <w:r>
        <w:t>В.І.Струк</w:t>
      </w:r>
      <w:proofErr w:type="spellEnd"/>
      <w:r>
        <w:t>. – Чернівці, 2016. – 227 с.</w:t>
      </w:r>
    </w:p>
    <w:p w14:paraId="6CEBCED2" w14:textId="77777777" w:rsidR="002B0634" w:rsidRDefault="00000000">
      <w:pPr>
        <w:numPr>
          <w:ilvl w:val="0"/>
          <w:numId w:val="12"/>
        </w:numPr>
        <w:tabs>
          <w:tab w:val="center" w:pos="851"/>
        </w:tabs>
        <w:ind w:hanging="360"/>
        <w:jc w:val="both"/>
      </w:pPr>
      <w:r>
        <w:t xml:space="preserve">Пропедевтика терапевтичної стоматології [Текст]: </w:t>
      </w:r>
      <w:proofErr w:type="spellStart"/>
      <w:r>
        <w:t>підруч</w:t>
      </w:r>
      <w:proofErr w:type="spellEnd"/>
      <w:r>
        <w:t xml:space="preserve">. для </w:t>
      </w:r>
      <w:proofErr w:type="spellStart"/>
      <w:r>
        <w:t>студ</w:t>
      </w:r>
      <w:proofErr w:type="spellEnd"/>
      <w:r>
        <w:t xml:space="preserve">. стом. </w:t>
      </w:r>
      <w:proofErr w:type="spellStart"/>
      <w:r>
        <w:t>факул</w:t>
      </w:r>
      <w:proofErr w:type="spellEnd"/>
      <w:r>
        <w:t xml:space="preserve">. </w:t>
      </w:r>
      <w:proofErr w:type="spellStart"/>
      <w:r>
        <w:t>вищ</w:t>
      </w:r>
      <w:proofErr w:type="spellEnd"/>
      <w:r>
        <w:t xml:space="preserve">. </w:t>
      </w:r>
      <w:proofErr w:type="spellStart"/>
      <w:r>
        <w:t>навч</w:t>
      </w:r>
      <w:proofErr w:type="spellEnd"/>
      <w:r>
        <w:t xml:space="preserve">. </w:t>
      </w:r>
      <w:proofErr w:type="spellStart"/>
      <w:r>
        <w:t>закл</w:t>
      </w:r>
      <w:proofErr w:type="spellEnd"/>
      <w:r>
        <w:t xml:space="preserve">. МОЗ України / Марченко І.Я., Назаренко З.Ю., Павленко С.А. та ін..; під </w:t>
      </w:r>
      <w:proofErr w:type="spellStart"/>
      <w:r>
        <w:t>заг</w:t>
      </w:r>
      <w:proofErr w:type="spellEnd"/>
      <w:r>
        <w:t>. ред. Ткаченко І.М.; ВДНЗУ «УМСА» – Полтава: ТОВ «АСМІ», 2016 р. – 439 с.</w:t>
      </w:r>
    </w:p>
    <w:p w14:paraId="2D6A4D12" w14:textId="77777777" w:rsidR="002B0634" w:rsidRDefault="00000000">
      <w:pPr>
        <w:numPr>
          <w:ilvl w:val="0"/>
          <w:numId w:val="12"/>
        </w:numPr>
        <w:tabs>
          <w:tab w:val="center" w:pos="851"/>
        </w:tabs>
        <w:ind w:hanging="360"/>
        <w:jc w:val="both"/>
      </w:pPr>
      <w:r>
        <w:t xml:space="preserve">Клінічний практикум із терапевтичної стоматології: Навчальний посібник. / Т. О. </w:t>
      </w:r>
      <w:proofErr w:type="spellStart"/>
      <w:r>
        <w:t>Петрушанко</w:t>
      </w:r>
      <w:proofErr w:type="spellEnd"/>
      <w:r>
        <w:t xml:space="preserve">, Л. Й. Островська, Н. М. </w:t>
      </w:r>
      <w:proofErr w:type="spellStart"/>
      <w:r>
        <w:t>Іленко</w:t>
      </w:r>
      <w:proofErr w:type="spellEnd"/>
      <w:r>
        <w:t>. – Київ: “Центр учбової літератури”, 2019. – 260 с</w:t>
      </w:r>
    </w:p>
    <w:p w14:paraId="621B6BE7" w14:textId="77777777" w:rsidR="002B0634" w:rsidRDefault="00000000">
      <w:pPr>
        <w:numPr>
          <w:ilvl w:val="0"/>
          <w:numId w:val="12"/>
        </w:numPr>
        <w:tabs>
          <w:tab w:val="center" w:pos="851"/>
        </w:tabs>
        <w:ind w:hanging="360"/>
        <w:jc w:val="both"/>
        <w:rPr>
          <w:i/>
        </w:rPr>
      </w:pPr>
      <w:hyperlink r:id="rId7">
        <w:r>
          <w:rPr>
            <w:color w:val="0000FF"/>
            <w:u w:val="single"/>
          </w:rPr>
          <w:t>https://www.academia.edu/40009330/ORAL_PATHOLOGY_AND_ORAL_MEDICINE</w:t>
        </w:r>
      </w:hyperlink>
    </w:p>
    <w:p w14:paraId="510757E1" w14:textId="77777777" w:rsidR="002B0634" w:rsidRDefault="002B0634">
      <w:pPr>
        <w:jc w:val="both"/>
        <w:rPr>
          <w:sz w:val="28"/>
          <w:szCs w:val="28"/>
        </w:rPr>
      </w:pPr>
    </w:p>
    <w:p w14:paraId="21C34036" w14:textId="77777777" w:rsidR="002B0634" w:rsidRDefault="00000000">
      <w:pPr>
        <w:ind w:firstLine="720"/>
        <w:jc w:val="both"/>
        <w:rPr>
          <w:sz w:val="28"/>
          <w:szCs w:val="28"/>
        </w:rPr>
      </w:pPr>
      <w:r>
        <w:rPr>
          <w:sz w:val="28"/>
          <w:szCs w:val="28"/>
        </w:rPr>
        <w:t>Захворювання тканин пародонту можуть розвиватись під впливом як місцевих причин, так і поєднаного впливу місцевих та загальних чинників на тлі зміненої реактивності організму. Слід зазначити, що ці чинники можуть бути екзогенного та ендогенного походження. Реалізація їх патогенного впливу здійснюється у випадку, якщо за силою вони переважають захисно-пристосувальні можливості тканин пародонту.</w:t>
      </w:r>
    </w:p>
    <w:p w14:paraId="5A83198E" w14:textId="77777777" w:rsidR="002B0634" w:rsidRDefault="00000000">
      <w:pPr>
        <w:ind w:firstLine="720"/>
        <w:jc w:val="both"/>
        <w:rPr>
          <w:b/>
          <w:sz w:val="28"/>
          <w:szCs w:val="28"/>
        </w:rPr>
      </w:pPr>
      <w:r>
        <w:rPr>
          <w:b/>
          <w:sz w:val="28"/>
          <w:szCs w:val="28"/>
        </w:rPr>
        <w:t>МІСЦЕВІ ЧИННИКИ</w:t>
      </w:r>
    </w:p>
    <w:p w14:paraId="7278306E" w14:textId="77777777" w:rsidR="002B0634" w:rsidRDefault="00000000">
      <w:pPr>
        <w:numPr>
          <w:ilvl w:val="0"/>
          <w:numId w:val="1"/>
        </w:numPr>
        <w:ind w:left="0"/>
        <w:jc w:val="both"/>
        <w:rPr>
          <w:b/>
          <w:i/>
          <w:sz w:val="28"/>
          <w:szCs w:val="28"/>
        </w:rPr>
      </w:pPr>
      <w:r>
        <w:rPr>
          <w:b/>
          <w:i/>
          <w:sz w:val="28"/>
          <w:szCs w:val="28"/>
        </w:rPr>
        <w:lastRenderedPageBreak/>
        <w:t>Зубні відкладення</w:t>
      </w:r>
    </w:p>
    <w:p w14:paraId="07E6CF9F" w14:textId="77777777" w:rsidR="002B0634" w:rsidRDefault="00000000">
      <w:pPr>
        <w:ind w:firstLine="540"/>
        <w:jc w:val="both"/>
        <w:rPr>
          <w:sz w:val="28"/>
          <w:szCs w:val="28"/>
        </w:rPr>
      </w:pPr>
      <w:r>
        <w:rPr>
          <w:sz w:val="28"/>
          <w:szCs w:val="28"/>
        </w:rPr>
        <w:t>У 1977 р. на засіданні експертної групи ВООЗ було прийнято, що причиною розвитку гінгівіту є мінералізовані та немінералізовані зубні відкладення.</w:t>
      </w:r>
    </w:p>
    <w:p w14:paraId="3CB7AA5A" w14:textId="77777777" w:rsidR="002B0634" w:rsidRDefault="00000000">
      <w:pPr>
        <w:ind w:firstLine="540"/>
        <w:jc w:val="both"/>
        <w:rPr>
          <w:sz w:val="28"/>
          <w:szCs w:val="28"/>
        </w:rPr>
      </w:pPr>
      <w:r>
        <w:rPr>
          <w:sz w:val="28"/>
          <w:szCs w:val="28"/>
        </w:rPr>
        <w:t>Утворенню та накопиченню зубної бляшки сприяють наступні чинники:</w:t>
      </w:r>
    </w:p>
    <w:p w14:paraId="6D0F233F" w14:textId="77777777" w:rsidR="002B0634" w:rsidRDefault="00000000">
      <w:pPr>
        <w:numPr>
          <w:ilvl w:val="0"/>
          <w:numId w:val="2"/>
        </w:numPr>
        <w:ind w:left="0"/>
        <w:jc w:val="both"/>
        <w:rPr>
          <w:sz w:val="28"/>
          <w:szCs w:val="28"/>
        </w:rPr>
      </w:pPr>
      <w:r>
        <w:rPr>
          <w:sz w:val="28"/>
          <w:szCs w:val="28"/>
        </w:rPr>
        <w:t>недостатнє самоочищення ротової порожнини (м’яка їжа)</w:t>
      </w:r>
    </w:p>
    <w:p w14:paraId="78C81EF2" w14:textId="77777777" w:rsidR="002B0634" w:rsidRDefault="00000000">
      <w:pPr>
        <w:numPr>
          <w:ilvl w:val="0"/>
          <w:numId w:val="2"/>
        </w:numPr>
        <w:ind w:left="0"/>
        <w:jc w:val="both"/>
        <w:rPr>
          <w:sz w:val="28"/>
          <w:szCs w:val="28"/>
        </w:rPr>
      </w:pPr>
      <w:r>
        <w:rPr>
          <w:sz w:val="28"/>
          <w:szCs w:val="28"/>
        </w:rPr>
        <w:t>характер харчування – переважання вуглеводів</w:t>
      </w:r>
    </w:p>
    <w:p w14:paraId="30581BE2" w14:textId="77777777" w:rsidR="002B0634" w:rsidRDefault="00000000">
      <w:pPr>
        <w:numPr>
          <w:ilvl w:val="0"/>
          <w:numId w:val="2"/>
        </w:numPr>
        <w:ind w:left="0"/>
        <w:jc w:val="both"/>
        <w:rPr>
          <w:sz w:val="28"/>
          <w:szCs w:val="28"/>
        </w:rPr>
      </w:pPr>
      <w:r>
        <w:rPr>
          <w:sz w:val="28"/>
          <w:szCs w:val="28"/>
        </w:rPr>
        <w:t>незадовільний гігієнічний догляд за порожниною рота</w:t>
      </w:r>
    </w:p>
    <w:p w14:paraId="3F326B38" w14:textId="77777777" w:rsidR="002B0634" w:rsidRDefault="00000000">
      <w:pPr>
        <w:numPr>
          <w:ilvl w:val="0"/>
          <w:numId w:val="2"/>
        </w:numPr>
        <w:ind w:left="0"/>
        <w:jc w:val="both"/>
        <w:rPr>
          <w:sz w:val="28"/>
          <w:szCs w:val="28"/>
        </w:rPr>
      </w:pPr>
      <w:proofErr w:type="spellStart"/>
      <w:r>
        <w:rPr>
          <w:sz w:val="28"/>
          <w:szCs w:val="28"/>
        </w:rPr>
        <w:t>скученість</w:t>
      </w:r>
      <w:proofErr w:type="spellEnd"/>
      <w:r>
        <w:rPr>
          <w:sz w:val="28"/>
          <w:szCs w:val="28"/>
        </w:rPr>
        <w:t xml:space="preserve"> зубів, аномалії розташування зубів, зубних рядів</w:t>
      </w:r>
    </w:p>
    <w:p w14:paraId="0C480D14" w14:textId="77777777" w:rsidR="002B0634" w:rsidRDefault="00000000">
      <w:pPr>
        <w:numPr>
          <w:ilvl w:val="0"/>
          <w:numId w:val="2"/>
        </w:numPr>
        <w:ind w:left="0"/>
        <w:jc w:val="both"/>
        <w:rPr>
          <w:sz w:val="28"/>
          <w:szCs w:val="28"/>
        </w:rPr>
      </w:pPr>
      <w:r>
        <w:rPr>
          <w:sz w:val="28"/>
          <w:szCs w:val="28"/>
        </w:rPr>
        <w:t xml:space="preserve">навислі краї пломб, ортопедичних конструкцій, </w:t>
      </w:r>
      <w:proofErr w:type="spellStart"/>
      <w:r>
        <w:rPr>
          <w:sz w:val="28"/>
          <w:szCs w:val="28"/>
        </w:rPr>
        <w:t>ортодонтичних</w:t>
      </w:r>
      <w:proofErr w:type="spellEnd"/>
      <w:r>
        <w:rPr>
          <w:sz w:val="28"/>
          <w:szCs w:val="28"/>
        </w:rPr>
        <w:t xml:space="preserve"> апаратів</w:t>
      </w:r>
    </w:p>
    <w:p w14:paraId="432A618D" w14:textId="77777777" w:rsidR="002B0634" w:rsidRDefault="00000000">
      <w:pPr>
        <w:numPr>
          <w:ilvl w:val="0"/>
          <w:numId w:val="2"/>
        </w:numPr>
        <w:ind w:left="0"/>
        <w:jc w:val="both"/>
        <w:rPr>
          <w:sz w:val="28"/>
          <w:szCs w:val="28"/>
        </w:rPr>
      </w:pPr>
      <w:r>
        <w:rPr>
          <w:sz w:val="28"/>
          <w:szCs w:val="28"/>
        </w:rPr>
        <w:t xml:space="preserve">наявність каріозних порожнин </w:t>
      </w:r>
      <w:proofErr w:type="spellStart"/>
      <w:r>
        <w:rPr>
          <w:sz w:val="28"/>
          <w:szCs w:val="28"/>
        </w:rPr>
        <w:t>приясенної</w:t>
      </w:r>
      <w:proofErr w:type="spellEnd"/>
      <w:r>
        <w:rPr>
          <w:sz w:val="28"/>
          <w:szCs w:val="28"/>
        </w:rPr>
        <w:t xml:space="preserve"> локалізації</w:t>
      </w:r>
    </w:p>
    <w:p w14:paraId="4BED3B48" w14:textId="77777777" w:rsidR="002B0634" w:rsidRDefault="00000000">
      <w:pPr>
        <w:numPr>
          <w:ilvl w:val="0"/>
          <w:numId w:val="2"/>
        </w:numPr>
        <w:ind w:left="0"/>
        <w:jc w:val="both"/>
        <w:rPr>
          <w:sz w:val="28"/>
          <w:szCs w:val="28"/>
        </w:rPr>
      </w:pPr>
      <w:r>
        <w:rPr>
          <w:sz w:val="28"/>
          <w:szCs w:val="28"/>
        </w:rPr>
        <w:t xml:space="preserve">кількісні та якісні зміни ротової рідини. </w:t>
      </w:r>
    </w:p>
    <w:p w14:paraId="670829EC" w14:textId="77777777" w:rsidR="002B0634" w:rsidRDefault="00000000">
      <w:pPr>
        <w:jc w:val="both"/>
        <w:rPr>
          <w:b/>
          <w:i/>
          <w:sz w:val="28"/>
          <w:szCs w:val="28"/>
        </w:rPr>
      </w:pPr>
      <w:r>
        <w:rPr>
          <w:sz w:val="28"/>
          <w:szCs w:val="28"/>
        </w:rPr>
        <w:t xml:space="preserve">2. </w:t>
      </w:r>
      <w:r>
        <w:rPr>
          <w:b/>
          <w:i/>
          <w:sz w:val="28"/>
          <w:szCs w:val="28"/>
        </w:rPr>
        <w:t>Мікроорганізми зубної бляшки</w:t>
      </w:r>
    </w:p>
    <w:p w14:paraId="3F3D2ABC" w14:textId="77777777" w:rsidR="002B0634" w:rsidRDefault="00000000">
      <w:pPr>
        <w:ind w:firstLine="540"/>
        <w:jc w:val="both"/>
        <w:rPr>
          <w:sz w:val="28"/>
          <w:szCs w:val="28"/>
        </w:rPr>
      </w:pPr>
      <w:proofErr w:type="spellStart"/>
      <w:r>
        <w:rPr>
          <w:sz w:val="28"/>
          <w:szCs w:val="28"/>
        </w:rPr>
        <w:t>Пародонтопатогенна</w:t>
      </w:r>
      <w:proofErr w:type="spellEnd"/>
      <w:r>
        <w:rPr>
          <w:sz w:val="28"/>
          <w:szCs w:val="28"/>
        </w:rPr>
        <w:t xml:space="preserve"> флора – </w:t>
      </w:r>
      <w:proofErr w:type="spellStart"/>
      <w:r>
        <w:rPr>
          <w:sz w:val="28"/>
          <w:szCs w:val="28"/>
        </w:rPr>
        <w:t>ферментоутворюючі</w:t>
      </w:r>
      <w:proofErr w:type="spellEnd"/>
      <w:r>
        <w:rPr>
          <w:sz w:val="28"/>
          <w:szCs w:val="28"/>
        </w:rPr>
        <w:t xml:space="preserve"> мікроорганізми:</w:t>
      </w:r>
    </w:p>
    <w:p w14:paraId="289D4CA2" w14:textId="77777777" w:rsidR="002B0634" w:rsidRDefault="00000000">
      <w:pPr>
        <w:numPr>
          <w:ilvl w:val="0"/>
          <w:numId w:val="3"/>
        </w:numPr>
        <w:ind w:left="0"/>
        <w:jc w:val="both"/>
        <w:rPr>
          <w:sz w:val="28"/>
          <w:szCs w:val="28"/>
        </w:rPr>
      </w:pPr>
      <w:proofErr w:type="spellStart"/>
      <w:r>
        <w:rPr>
          <w:sz w:val="28"/>
          <w:szCs w:val="28"/>
        </w:rPr>
        <w:t>Actinomyces</w:t>
      </w:r>
      <w:proofErr w:type="spellEnd"/>
      <w:r>
        <w:rPr>
          <w:sz w:val="28"/>
          <w:szCs w:val="28"/>
        </w:rPr>
        <w:t xml:space="preserve"> </w:t>
      </w:r>
      <w:proofErr w:type="spellStart"/>
      <w:r>
        <w:rPr>
          <w:sz w:val="28"/>
          <w:szCs w:val="28"/>
        </w:rPr>
        <w:t>viscosus</w:t>
      </w:r>
      <w:proofErr w:type="spellEnd"/>
    </w:p>
    <w:p w14:paraId="3591B0A1" w14:textId="77777777" w:rsidR="002B0634" w:rsidRDefault="00000000">
      <w:pPr>
        <w:numPr>
          <w:ilvl w:val="0"/>
          <w:numId w:val="3"/>
        </w:numPr>
        <w:ind w:left="0"/>
        <w:jc w:val="both"/>
        <w:rPr>
          <w:sz w:val="28"/>
          <w:szCs w:val="28"/>
        </w:rPr>
      </w:pPr>
      <w:proofErr w:type="spellStart"/>
      <w:r>
        <w:rPr>
          <w:sz w:val="28"/>
          <w:szCs w:val="28"/>
        </w:rPr>
        <w:t>Fusobacterium</w:t>
      </w:r>
      <w:proofErr w:type="spellEnd"/>
      <w:r>
        <w:rPr>
          <w:sz w:val="28"/>
          <w:szCs w:val="28"/>
        </w:rPr>
        <w:t xml:space="preserve"> </w:t>
      </w:r>
      <w:proofErr w:type="spellStart"/>
      <w:r>
        <w:rPr>
          <w:sz w:val="28"/>
          <w:szCs w:val="28"/>
        </w:rPr>
        <w:t>nucleatum</w:t>
      </w:r>
      <w:proofErr w:type="spellEnd"/>
    </w:p>
    <w:p w14:paraId="3131D8CC" w14:textId="77777777" w:rsidR="002B0634" w:rsidRDefault="00000000">
      <w:pPr>
        <w:numPr>
          <w:ilvl w:val="0"/>
          <w:numId w:val="3"/>
        </w:numPr>
        <w:ind w:left="0"/>
        <w:jc w:val="both"/>
        <w:rPr>
          <w:sz w:val="28"/>
          <w:szCs w:val="28"/>
        </w:rPr>
      </w:pPr>
      <w:proofErr w:type="spellStart"/>
      <w:r>
        <w:rPr>
          <w:sz w:val="28"/>
          <w:szCs w:val="28"/>
        </w:rPr>
        <w:t>Bacteroides</w:t>
      </w:r>
      <w:proofErr w:type="spellEnd"/>
      <w:r>
        <w:rPr>
          <w:sz w:val="28"/>
          <w:szCs w:val="28"/>
        </w:rPr>
        <w:t xml:space="preserve"> </w:t>
      </w:r>
      <w:proofErr w:type="spellStart"/>
      <w:r>
        <w:rPr>
          <w:sz w:val="28"/>
          <w:szCs w:val="28"/>
        </w:rPr>
        <w:t>melanogenicus</w:t>
      </w:r>
      <w:proofErr w:type="spellEnd"/>
    </w:p>
    <w:p w14:paraId="6056C873" w14:textId="77777777" w:rsidR="002B0634" w:rsidRDefault="00000000">
      <w:pPr>
        <w:numPr>
          <w:ilvl w:val="0"/>
          <w:numId w:val="3"/>
        </w:numPr>
        <w:ind w:left="0"/>
        <w:jc w:val="both"/>
        <w:rPr>
          <w:sz w:val="28"/>
          <w:szCs w:val="28"/>
        </w:rPr>
      </w:pPr>
      <w:proofErr w:type="spellStart"/>
      <w:r>
        <w:rPr>
          <w:sz w:val="28"/>
          <w:szCs w:val="28"/>
        </w:rPr>
        <w:t>Bacteroides</w:t>
      </w:r>
      <w:proofErr w:type="spellEnd"/>
      <w:r>
        <w:rPr>
          <w:sz w:val="28"/>
          <w:szCs w:val="28"/>
        </w:rPr>
        <w:t xml:space="preserve"> </w:t>
      </w:r>
      <w:proofErr w:type="spellStart"/>
      <w:r>
        <w:rPr>
          <w:sz w:val="28"/>
          <w:szCs w:val="28"/>
        </w:rPr>
        <w:t>gingivalis</w:t>
      </w:r>
      <w:proofErr w:type="spellEnd"/>
    </w:p>
    <w:p w14:paraId="7C54C269" w14:textId="77777777" w:rsidR="002B0634" w:rsidRDefault="00000000">
      <w:pPr>
        <w:numPr>
          <w:ilvl w:val="0"/>
          <w:numId w:val="3"/>
        </w:numPr>
        <w:ind w:left="0"/>
        <w:jc w:val="both"/>
        <w:rPr>
          <w:sz w:val="28"/>
          <w:szCs w:val="28"/>
        </w:rPr>
      </w:pPr>
      <w:proofErr w:type="spellStart"/>
      <w:r>
        <w:rPr>
          <w:sz w:val="28"/>
          <w:szCs w:val="28"/>
        </w:rPr>
        <w:t>Veillonella</w:t>
      </w:r>
      <w:proofErr w:type="spellEnd"/>
    </w:p>
    <w:p w14:paraId="5AB31FCB" w14:textId="77777777" w:rsidR="002B0634" w:rsidRDefault="00000000">
      <w:pPr>
        <w:numPr>
          <w:ilvl w:val="0"/>
          <w:numId w:val="3"/>
        </w:numPr>
        <w:ind w:left="0"/>
        <w:jc w:val="both"/>
        <w:rPr>
          <w:sz w:val="28"/>
          <w:szCs w:val="28"/>
        </w:rPr>
      </w:pPr>
      <w:proofErr w:type="spellStart"/>
      <w:r>
        <w:rPr>
          <w:sz w:val="28"/>
          <w:szCs w:val="28"/>
        </w:rPr>
        <w:t>Peptostreptococcus</w:t>
      </w:r>
      <w:proofErr w:type="spellEnd"/>
      <w:r>
        <w:rPr>
          <w:sz w:val="28"/>
          <w:szCs w:val="28"/>
        </w:rPr>
        <w:t xml:space="preserve"> </w:t>
      </w:r>
      <w:proofErr w:type="spellStart"/>
      <w:r>
        <w:rPr>
          <w:sz w:val="28"/>
          <w:szCs w:val="28"/>
        </w:rPr>
        <w:t>micros</w:t>
      </w:r>
      <w:proofErr w:type="spellEnd"/>
    </w:p>
    <w:p w14:paraId="24D78D15" w14:textId="77777777" w:rsidR="002B0634" w:rsidRDefault="00000000">
      <w:pPr>
        <w:numPr>
          <w:ilvl w:val="0"/>
          <w:numId w:val="3"/>
        </w:numPr>
        <w:ind w:left="0"/>
        <w:jc w:val="both"/>
        <w:rPr>
          <w:sz w:val="28"/>
          <w:szCs w:val="28"/>
        </w:rPr>
      </w:pPr>
      <w:proofErr w:type="spellStart"/>
      <w:r>
        <w:rPr>
          <w:sz w:val="28"/>
          <w:szCs w:val="28"/>
        </w:rPr>
        <w:t>Compylobacter</w:t>
      </w:r>
      <w:proofErr w:type="spellEnd"/>
      <w:r>
        <w:rPr>
          <w:sz w:val="28"/>
          <w:szCs w:val="28"/>
        </w:rPr>
        <w:t xml:space="preserve"> </w:t>
      </w:r>
      <w:proofErr w:type="spellStart"/>
      <w:r>
        <w:rPr>
          <w:sz w:val="28"/>
          <w:szCs w:val="28"/>
        </w:rPr>
        <w:t>rectus</w:t>
      </w:r>
      <w:proofErr w:type="spellEnd"/>
    </w:p>
    <w:p w14:paraId="7C4C2C67" w14:textId="77777777" w:rsidR="002B0634" w:rsidRDefault="00000000">
      <w:pPr>
        <w:numPr>
          <w:ilvl w:val="0"/>
          <w:numId w:val="3"/>
        </w:numPr>
        <w:ind w:left="0"/>
        <w:jc w:val="both"/>
        <w:rPr>
          <w:sz w:val="28"/>
          <w:szCs w:val="28"/>
        </w:rPr>
      </w:pPr>
      <w:r>
        <w:rPr>
          <w:sz w:val="28"/>
          <w:szCs w:val="28"/>
        </w:rPr>
        <w:t xml:space="preserve">спірохети, </w:t>
      </w:r>
      <w:proofErr w:type="spellStart"/>
      <w:r>
        <w:rPr>
          <w:sz w:val="28"/>
          <w:szCs w:val="28"/>
        </w:rPr>
        <w:t>трепонеми</w:t>
      </w:r>
      <w:proofErr w:type="spellEnd"/>
    </w:p>
    <w:p w14:paraId="11505A17" w14:textId="77777777" w:rsidR="002B0634" w:rsidRDefault="00000000">
      <w:pPr>
        <w:numPr>
          <w:ilvl w:val="0"/>
          <w:numId w:val="3"/>
        </w:numPr>
        <w:ind w:left="0"/>
        <w:jc w:val="both"/>
        <w:rPr>
          <w:sz w:val="28"/>
          <w:szCs w:val="28"/>
        </w:rPr>
      </w:pPr>
      <w:r>
        <w:rPr>
          <w:sz w:val="28"/>
          <w:szCs w:val="28"/>
        </w:rPr>
        <w:t>стафілококи</w:t>
      </w:r>
    </w:p>
    <w:p w14:paraId="529CE2C5" w14:textId="77777777" w:rsidR="002B0634" w:rsidRDefault="00000000">
      <w:pPr>
        <w:numPr>
          <w:ilvl w:val="0"/>
          <w:numId w:val="3"/>
        </w:numPr>
        <w:ind w:left="0"/>
        <w:jc w:val="both"/>
        <w:rPr>
          <w:sz w:val="28"/>
          <w:szCs w:val="28"/>
        </w:rPr>
      </w:pPr>
      <w:proofErr w:type="spellStart"/>
      <w:r>
        <w:rPr>
          <w:sz w:val="28"/>
          <w:szCs w:val="28"/>
        </w:rPr>
        <w:t>хламідії</w:t>
      </w:r>
      <w:proofErr w:type="spellEnd"/>
    </w:p>
    <w:p w14:paraId="67B4852B" w14:textId="77777777" w:rsidR="002B0634" w:rsidRDefault="00000000">
      <w:pPr>
        <w:numPr>
          <w:ilvl w:val="0"/>
          <w:numId w:val="3"/>
        </w:numPr>
        <w:ind w:left="0"/>
        <w:jc w:val="both"/>
        <w:rPr>
          <w:sz w:val="28"/>
          <w:szCs w:val="28"/>
        </w:rPr>
      </w:pPr>
      <w:proofErr w:type="spellStart"/>
      <w:r>
        <w:rPr>
          <w:sz w:val="28"/>
          <w:szCs w:val="28"/>
        </w:rPr>
        <w:t>трихомонади</w:t>
      </w:r>
      <w:proofErr w:type="spellEnd"/>
      <w:r>
        <w:rPr>
          <w:sz w:val="28"/>
          <w:szCs w:val="28"/>
        </w:rPr>
        <w:t xml:space="preserve"> та інші найпростіші</w:t>
      </w:r>
    </w:p>
    <w:p w14:paraId="1365A827" w14:textId="77777777" w:rsidR="002B0634" w:rsidRDefault="00000000">
      <w:pPr>
        <w:ind w:firstLine="472"/>
        <w:jc w:val="both"/>
        <w:rPr>
          <w:sz w:val="28"/>
          <w:szCs w:val="28"/>
        </w:rPr>
      </w:pPr>
      <w:r>
        <w:rPr>
          <w:sz w:val="28"/>
          <w:szCs w:val="28"/>
        </w:rPr>
        <w:t xml:space="preserve">Мікрофлора зубної бляшки не є сталою протягом її існування. По мірі накопичення зубної бляшки відбувається заміщення одних умовно-патогенних мікроорганізмів на інші, з більш вираженою патогенністю. Відбувається заміщення звичайної кокової флори на комплекс, що складається з коків, паличок та спірил. При запальних та </w:t>
      </w:r>
      <w:proofErr w:type="spellStart"/>
      <w:r>
        <w:rPr>
          <w:sz w:val="28"/>
          <w:szCs w:val="28"/>
        </w:rPr>
        <w:t>запально</w:t>
      </w:r>
      <w:proofErr w:type="spellEnd"/>
      <w:r>
        <w:rPr>
          <w:sz w:val="28"/>
          <w:szCs w:val="28"/>
        </w:rPr>
        <w:t xml:space="preserve">-дистрофічних захворюваннях пародонту переважають </w:t>
      </w:r>
      <w:proofErr w:type="spellStart"/>
      <w:r>
        <w:rPr>
          <w:sz w:val="28"/>
          <w:szCs w:val="28"/>
        </w:rPr>
        <w:t>грамнегативні</w:t>
      </w:r>
      <w:proofErr w:type="spellEnd"/>
      <w:r>
        <w:rPr>
          <w:sz w:val="28"/>
          <w:szCs w:val="28"/>
        </w:rPr>
        <w:t xml:space="preserve"> палички з високим ступенем патогенності. А саме </w:t>
      </w:r>
      <w:proofErr w:type="spellStart"/>
      <w:r>
        <w:rPr>
          <w:sz w:val="28"/>
          <w:szCs w:val="28"/>
        </w:rPr>
        <w:t>грамнегативні</w:t>
      </w:r>
      <w:proofErr w:type="spellEnd"/>
      <w:r>
        <w:rPr>
          <w:sz w:val="28"/>
          <w:szCs w:val="28"/>
        </w:rPr>
        <w:t xml:space="preserve"> мікроорганізми виділяють найбільш агресивні ендотоксини, що і чинять пошкоджуючи дію на тканини пародонту.</w:t>
      </w:r>
    </w:p>
    <w:p w14:paraId="3DF0985D" w14:textId="77777777" w:rsidR="002B0634" w:rsidRDefault="00000000">
      <w:pPr>
        <w:ind w:firstLine="472"/>
        <w:jc w:val="both"/>
        <w:rPr>
          <w:sz w:val="28"/>
          <w:szCs w:val="28"/>
        </w:rPr>
      </w:pPr>
      <w:r>
        <w:rPr>
          <w:sz w:val="28"/>
          <w:szCs w:val="28"/>
        </w:rPr>
        <w:t xml:space="preserve">В порожнині рота є ряд захисних факторів, що пригнічують ріст мікрофлори. В першу чергу, це слина та ротова рідина. Захисна функція слини пов’язана з імунологічними та антибактеріальними властивостями, що забезпечується неспецифічними та специфічними механізмами. Неспецифічний захист здійснюють такі складові слини, як: лізоцим, </w:t>
      </w:r>
      <w:proofErr w:type="spellStart"/>
      <w:r>
        <w:rPr>
          <w:sz w:val="28"/>
          <w:szCs w:val="28"/>
        </w:rPr>
        <w:t>лактопероксидаза</w:t>
      </w:r>
      <w:proofErr w:type="spellEnd"/>
      <w:r>
        <w:rPr>
          <w:sz w:val="28"/>
          <w:szCs w:val="28"/>
        </w:rPr>
        <w:t xml:space="preserve">, </w:t>
      </w:r>
      <w:proofErr w:type="spellStart"/>
      <w:r>
        <w:rPr>
          <w:sz w:val="28"/>
          <w:szCs w:val="28"/>
        </w:rPr>
        <w:t>лактоферрин</w:t>
      </w:r>
      <w:proofErr w:type="spellEnd"/>
      <w:r>
        <w:rPr>
          <w:sz w:val="28"/>
          <w:szCs w:val="28"/>
        </w:rPr>
        <w:t xml:space="preserve">, системи згортання плазми та </w:t>
      </w:r>
      <w:proofErr w:type="spellStart"/>
      <w:r>
        <w:rPr>
          <w:sz w:val="28"/>
          <w:szCs w:val="28"/>
        </w:rPr>
        <w:t>фібринолітична</w:t>
      </w:r>
      <w:proofErr w:type="spellEnd"/>
      <w:r>
        <w:rPr>
          <w:sz w:val="28"/>
          <w:szCs w:val="28"/>
        </w:rPr>
        <w:t xml:space="preserve"> система слини. Специфічний захист </w:t>
      </w:r>
      <w:r>
        <w:rPr>
          <w:sz w:val="28"/>
          <w:szCs w:val="28"/>
        </w:rPr>
        <w:lastRenderedPageBreak/>
        <w:t xml:space="preserve">ротової порожнини здійснюється антитілами, що потрапляють в ротову порожнину через епітеліальну висилку, в першу чергу через епітелій прикріплення ясенної борозни. Визначну роль має секреторний </w:t>
      </w:r>
      <w:proofErr w:type="spellStart"/>
      <w:r>
        <w:rPr>
          <w:sz w:val="28"/>
          <w:szCs w:val="28"/>
        </w:rPr>
        <w:t>IgA</w:t>
      </w:r>
      <w:proofErr w:type="spellEnd"/>
      <w:r>
        <w:rPr>
          <w:sz w:val="28"/>
          <w:szCs w:val="28"/>
        </w:rPr>
        <w:t xml:space="preserve">, що </w:t>
      </w:r>
      <w:proofErr w:type="spellStart"/>
      <w:r>
        <w:rPr>
          <w:sz w:val="28"/>
          <w:szCs w:val="28"/>
        </w:rPr>
        <w:t>секретується</w:t>
      </w:r>
      <w:proofErr w:type="spellEnd"/>
      <w:r>
        <w:rPr>
          <w:sz w:val="28"/>
          <w:szCs w:val="28"/>
        </w:rPr>
        <w:t xml:space="preserve"> слинними залозами і чинить антибактеріальну дію, перешкоджаючи адгезії мікроорганізмів до поверхні твердих тканин зубів.</w:t>
      </w:r>
    </w:p>
    <w:p w14:paraId="52120A77" w14:textId="77777777" w:rsidR="002B0634" w:rsidRDefault="00000000">
      <w:pPr>
        <w:ind w:firstLine="472"/>
        <w:jc w:val="both"/>
        <w:rPr>
          <w:sz w:val="28"/>
          <w:szCs w:val="28"/>
        </w:rPr>
      </w:pPr>
      <w:r>
        <w:rPr>
          <w:sz w:val="28"/>
          <w:szCs w:val="28"/>
        </w:rPr>
        <w:t xml:space="preserve">Безпосереднє проникнення мікроорганізмів в тканини </w:t>
      </w:r>
      <w:proofErr w:type="spellStart"/>
      <w:r>
        <w:rPr>
          <w:sz w:val="28"/>
          <w:szCs w:val="28"/>
        </w:rPr>
        <w:t>пародонта</w:t>
      </w:r>
      <w:proofErr w:type="spellEnd"/>
      <w:r>
        <w:rPr>
          <w:sz w:val="28"/>
          <w:szCs w:val="28"/>
        </w:rPr>
        <w:t xml:space="preserve"> може виявлятись лише при порушенні цілісності епітеліальної </w:t>
      </w:r>
      <w:proofErr w:type="spellStart"/>
      <w:r>
        <w:rPr>
          <w:sz w:val="28"/>
          <w:szCs w:val="28"/>
        </w:rPr>
        <w:t>вистилки</w:t>
      </w:r>
      <w:proofErr w:type="spellEnd"/>
      <w:r>
        <w:rPr>
          <w:sz w:val="28"/>
          <w:szCs w:val="28"/>
        </w:rPr>
        <w:t xml:space="preserve">, оскільки бар’єрна функція епітелію є потужнім захисним фактором. Однак, при порушенні цілісності епітелію прикріплення ясенної борозни з’являються вхідні ворота для проникнення мікроорганізмів в глибину сполучної тканини ясен. Проникнення бактерій у тканини пародонту є важливим фактором патогенезу </w:t>
      </w:r>
      <w:proofErr w:type="spellStart"/>
      <w:r>
        <w:rPr>
          <w:sz w:val="28"/>
          <w:szCs w:val="28"/>
        </w:rPr>
        <w:t>запально</w:t>
      </w:r>
      <w:proofErr w:type="spellEnd"/>
      <w:r>
        <w:rPr>
          <w:sz w:val="28"/>
          <w:szCs w:val="28"/>
        </w:rPr>
        <w:t xml:space="preserve">-дистрофічних захворювань пародонту. Ряд авторів зазначають, що активна деструкція альвеолярної кістки та швидке прогресування </w:t>
      </w:r>
      <w:proofErr w:type="spellStart"/>
      <w:r>
        <w:rPr>
          <w:sz w:val="28"/>
          <w:szCs w:val="28"/>
        </w:rPr>
        <w:t>пародонтиту</w:t>
      </w:r>
      <w:proofErr w:type="spellEnd"/>
      <w:r>
        <w:rPr>
          <w:sz w:val="28"/>
          <w:szCs w:val="28"/>
        </w:rPr>
        <w:t xml:space="preserve">  відбуваються саме під час активного проникнення мікроорганізмів у тканини пародонту.</w:t>
      </w:r>
    </w:p>
    <w:p w14:paraId="1928598A" w14:textId="77777777" w:rsidR="002B0634" w:rsidRDefault="00000000">
      <w:pPr>
        <w:ind w:firstLine="472"/>
        <w:jc w:val="both"/>
        <w:rPr>
          <w:sz w:val="28"/>
          <w:szCs w:val="28"/>
        </w:rPr>
      </w:pPr>
      <w:r>
        <w:rPr>
          <w:sz w:val="28"/>
          <w:szCs w:val="28"/>
        </w:rPr>
        <w:t xml:space="preserve">Тканини пародонту підтримуються непошкодженими так довго, скільки буде тривати рівновага між резистентністю організму людини та вірулентністю бактерій. Постійний хронічний запальний процес у </w:t>
      </w:r>
      <w:proofErr w:type="spellStart"/>
      <w:r>
        <w:rPr>
          <w:sz w:val="28"/>
          <w:szCs w:val="28"/>
        </w:rPr>
        <w:t>яснах</w:t>
      </w:r>
      <w:proofErr w:type="spellEnd"/>
      <w:r>
        <w:rPr>
          <w:sz w:val="28"/>
          <w:szCs w:val="28"/>
        </w:rPr>
        <w:t xml:space="preserve"> (гінгівіт) рано чи пізно призводить до руйнування </w:t>
      </w:r>
      <w:proofErr w:type="spellStart"/>
      <w:r>
        <w:rPr>
          <w:sz w:val="28"/>
          <w:szCs w:val="28"/>
        </w:rPr>
        <w:t>зубо</w:t>
      </w:r>
      <w:proofErr w:type="spellEnd"/>
      <w:r>
        <w:rPr>
          <w:sz w:val="28"/>
          <w:szCs w:val="28"/>
        </w:rPr>
        <w:t xml:space="preserve">-епітеліального прикріплення та розвитку </w:t>
      </w:r>
      <w:proofErr w:type="spellStart"/>
      <w:r>
        <w:rPr>
          <w:sz w:val="28"/>
          <w:szCs w:val="28"/>
        </w:rPr>
        <w:t>пародонтиту</w:t>
      </w:r>
      <w:proofErr w:type="spellEnd"/>
      <w:r>
        <w:rPr>
          <w:sz w:val="28"/>
          <w:szCs w:val="28"/>
        </w:rPr>
        <w:t xml:space="preserve">. </w:t>
      </w:r>
    </w:p>
    <w:p w14:paraId="3BFFC299" w14:textId="77777777" w:rsidR="002B0634" w:rsidRDefault="00000000">
      <w:pPr>
        <w:ind w:firstLine="472"/>
        <w:jc w:val="both"/>
        <w:rPr>
          <w:sz w:val="28"/>
          <w:szCs w:val="28"/>
        </w:rPr>
      </w:pPr>
      <w:r>
        <w:rPr>
          <w:sz w:val="28"/>
          <w:szCs w:val="28"/>
        </w:rPr>
        <w:t xml:space="preserve">Мікроорганізми можуть пошкоджувати тканини пародонту безпосередньо шляхом вироблення </w:t>
      </w:r>
      <w:proofErr w:type="spellStart"/>
      <w:r>
        <w:rPr>
          <w:sz w:val="28"/>
          <w:szCs w:val="28"/>
        </w:rPr>
        <w:t>екзо</w:t>
      </w:r>
      <w:proofErr w:type="spellEnd"/>
      <w:r>
        <w:rPr>
          <w:sz w:val="28"/>
          <w:szCs w:val="28"/>
        </w:rPr>
        <w:t xml:space="preserve">- та ендотоксинів, ферментів, токсичних продуктів метаболізму або опосередковано, стимулюючи імунні реакції у тканинах пародонту, при яких і відбувається пошкодження власних тканин. </w:t>
      </w:r>
    </w:p>
    <w:p w14:paraId="5DD93BA6" w14:textId="77777777" w:rsidR="002B0634" w:rsidRDefault="00000000">
      <w:pPr>
        <w:ind w:firstLine="472"/>
        <w:jc w:val="both"/>
        <w:rPr>
          <w:sz w:val="28"/>
          <w:szCs w:val="28"/>
        </w:rPr>
      </w:pPr>
      <w:r>
        <w:rPr>
          <w:sz w:val="28"/>
          <w:szCs w:val="28"/>
        </w:rPr>
        <w:t>Розвиток бактеріального механізму патогенезу захворювань пародонту передбачає наступні етапи:</w:t>
      </w:r>
    </w:p>
    <w:p w14:paraId="71D247DD" w14:textId="77777777" w:rsidR="002B0634" w:rsidRDefault="00000000">
      <w:pPr>
        <w:numPr>
          <w:ilvl w:val="0"/>
          <w:numId w:val="4"/>
        </w:numPr>
        <w:ind w:left="0"/>
        <w:jc w:val="both"/>
        <w:rPr>
          <w:sz w:val="28"/>
          <w:szCs w:val="28"/>
        </w:rPr>
      </w:pPr>
      <w:r>
        <w:rPr>
          <w:sz w:val="28"/>
          <w:szCs w:val="28"/>
        </w:rPr>
        <w:t>проникнення мікроорганізмів в тканини пародонту</w:t>
      </w:r>
    </w:p>
    <w:p w14:paraId="2B1BCD17" w14:textId="77777777" w:rsidR="002B0634" w:rsidRDefault="00000000">
      <w:pPr>
        <w:numPr>
          <w:ilvl w:val="0"/>
          <w:numId w:val="4"/>
        </w:numPr>
        <w:ind w:left="0"/>
        <w:jc w:val="both"/>
        <w:rPr>
          <w:sz w:val="28"/>
          <w:szCs w:val="28"/>
        </w:rPr>
      </w:pPr>
      <w:r>
        <w:rPr>
          <w:sz w:val="28"/>
          <w:szCs w:val="28"/>
        </w:rPr>
        <w:t>вироблення патогенних ендотоксинів</w:t>
      </w:r>
    </w:p>
    <w:p w14:paraId="6497C318" w14:textId="77777777" w:rsidR="002B0634" w:rsidRDefault="00000000">
      <w:pPr>
        <w:numPr>
          <w:ilvl w:val="0"/>
          <w:numId w:val="4"/>
        </w:numPr>
        <w:ind w:left="0"/>
        <w:jc w:val="both"/>
        <w:rPr>
          <w:sz w:val="28"/>
          <w:szCs w:val="28"/>
        </w:rPr>
      </w:pPr>
      <w:r>
        <w:rPr>
          <w:sz w:val="28"/>
          <w:szCs w:val="28"/>
        </w:rPr>
        <w:t>вплив компонентів клітинної стінки бактерій</w:t>
      </w:r>
    </w:p>
    <w:p w14:paraId="2D246475" w14:textId="77777777" w:rsidR="002B0634" w:rsidRDefault="00000000">
      <w:pPr>
        <w:numPr>
          <w:ilvl w:val="0"/>
          <w:numId w:val="4"/>
        </w:numPr>
        <w:ind w:left="0"/>
        <w:jc w:val="both"/>
        <w:rPr>
          <w:sz w:val="28"/>
          <w:szCs w:val="28"/>
        </w:rPr>
      </w:pPr>
      <w:r>
        <w:rPr>
          <w:sz w:val="28"/>
          <w:szCs w:val="28"/>
        </w:rPr>
        <w:t>вироблення протеолітичних ферментів</w:t>
      </w:r>
    </w:p>
    <w:p w14:paraId="682EB631" w14:textId="77777777" w:rsidR="002B0634" w:rsidRDefault="00000000">
      <w:pPr>
        <w:numPr>
          <w:ilvl w:val="0"/>
          <w:numId w:val="4"/>
        </w:numPr>
        <w:ind w:left="0"/>
        <w:jc w:val="both"/>
        <w:rPr>
          <w:sz w:val="28"/>
          <w:szCs w:val="28"/>
        </w:rPr>
      </w:pPr>
      <w:r>
        <w:rPr>
          <w:sz w:val="28"/>
          <w:szCs w:val="28"/>
        </w:rPr>
        <w:t>розвиток патологічно змінених імунних реакцій в тканинах пародонту, спрямованих на пошкодження як бактеріальної стінки, так і власних тканин.</w:t>
      </w:r>
    </w:p>
    <w:p w14:paraId="63105FE6" w14:textId="77777777" w:rsidR="002B0634" w:rsidRDefault="00000000">
      <w:pPr>
        <w:ind w:firstLine="540"/>
        <w:jc w:val="both"/>
        <w:rPr>
          <w:sz w:val="28"/>
          <w:szCs w:val="28"/>
        </w:rPr>
      </w:pPr>
      <w:r>
        <w:rPr>
          <w:i/>
          <w:sz w:val="28"/>
          <w:szCs w:val="28"/>
        </w:rPr>
        <w:t xml:space="preserve">Ендотоксини </w:t>
      </w:r>
      <w:r>
        <w:rPr>
          <w:sz w:val="28"/>
          <w:szCs w:val="28"/>
        </w:rPr>
        <w:t xml:space="preserve">є </w:t>
      </w:r>
      <w:proofErr w:type="spellStart"/>
      <w:r>
        <w:rPr>
          <w:sz w:val="28"/>
          <w:szCs w:val="28"/>
        </w:rPr>
        <w:t>ліпополісахаридними</w:t>
      </w:r>
      <w:proofErr w:type="spellEnd"/>
      <w:r>
        <w:rPr>
          <w:sz w:val="28"/>
          <w:szCs w:val="28"/>
        </w:rPr>
        <w:t xml:space="preserve"> комплексами </w:t>
      </w:r>
      <w:proofErr w:type="spellStart"/>
      <w:r>
        <w:rPr>
          <w:sz w:val="28"/>
          <w:szCs w:val="28"/>
        </w:rPr>
        <w:t>грамнегативних</w:t>
      </w:r>
      <w:proofErr w:type="spellEnd"/>
      <w:r>
        <w:rPr>
          <w:sz w:val="28"/>
          <w:szCs w:val="28"/>
        </w:rPr>
        <w:t xml:space="preserve"> бактерій, що вивільняються при їх руйнуванні. Деякі ендотоксини викликають активацію ХІІ фактору згортання крові (фактору </w:t>
      </w:r>
      <w:proofErr w:type="spellStart"/>
      <w:r>
        <w:rPr>
          <w:sz w:val="28"/>
          <w:szCs w:val="28"/>
        </w:rPr>
        <w:t>Хаггемана</w:t>
      </w:r>
      <w:proofErr w:type="spellEnd"/>
      <w:r>
        <w:rPr>
          <w:sz w:val="28"/>
          <w:szCs w:val="28"/>
        </w:rPr>
        <w:t xml:space="preserve">), призводячи таким чином до </w:t>
      </w:r>
      <w:proofErr w:type="spellStart"/>
      <w:r>
        <w:rPr>
          <w:sz w:val="28"/>
          <w:szCs w:val="28"/>
        </w:rPr>
        <w:t>внутрішьосудинного</w:t>
      </w:r>
      <w:proofErr w:type="spellEnd"/>
      <w:r>
        <w:rPr>
          <w:sz w:val="28"/>
          <w:szCs w:val="28"/>
        </w:rPr>
        <w:t xml:space="preserve"> згортання крові і утворення </w:t>
      </w:r>
      <w:proofErr w:type="spellStart"/>
      <w:r>
        <w:rPr>
          <w:sz w:val="28"/>
          <w:szCs w:val="28"/>
        </w:rPr>
        <w:t>мікротромбів</w:t>
      </w:r>
      <w:proofErr w:type="spellEnd"/>
      <w:r>
        <w:rPr>
          <w:sz w:val="28"/>
          <w:szCs w:val="28"/>
        </w:rPr>
        <w:t xml:space="preserve"> у дрібних капілярах. Інші – активують систему комплементу, запускаючи ряд імунних порушень. Є ендотоксини, що індукують резорбцію кісткової тканини.</w:t>
      </w:r>
    </w:p>
    <w:p w14:paraId="063BDC31" w14:textId="77777777" w:rsidR="002B0634" w:rsidRDefault="00000000">
      <w:pPr>
        <w:ind w:firstLine="540"/>
        <w:jc w:val="both"/>
        <w:rPr>
          <w:sz w:val="28"/>
          <w:szCs w:val="28"/>
        </w:rPr>
      </w:pPr>
      <w:r>
        <w:rPr>
          <w:sz w:val="28"/>
          <w:szCs w:val="28"/>
        </w:rPr>
        <w:t>Крім ендотоксинів, мікроорганізми виробляють багато токсичних кінцевих продуктів обміну – жирні та органічні кислоти, аміни, індол, аміак тощо.</w:t>
      </w:r>
    </w:p>
    <w:p w14:paraId="417AEAEA" w14:textId="77777777" w:rsidR="002B0634" w:rsidRDefault="00000000">
      <w:pPr>
        <w:ind w:firstLine="540"/>
        <w:jc w:val="both"/>
        <w:rPr>
          <w:sz w:val="28"/>
          <w:szCs w:val="28"/>
        </w:rPr>
      </w:pPr>
      <w:r>
        <w:rPr>
          <w:i/>
          <w:sz w:val="28"/>
          <w:szCs w:val="28"/>
        </w:rPr>
        <w:t>Компоненти бактеріальної стінки</w:t>
      </w:r>
      <w:r>
        <w:rPr>
          <w:sz w:val="28"/>
          <w:szCs w:val="28"/>
        </w:rPr>
        <w:t xml:space="preserve"> – це </w:t>
      </w:r>
      <w:proofErr w:type="spellStart"/>
      <w:r>
        <w:rPr>
          <w:sz w:val="28"/>
          <w:szCs w:val="28"/>
        </w:rPr>
        <w:t>пептидоглікани</w:t>
      </w:r>
      <w:proofErr w:type="spellEnd"/>
      <w:r>
        <w:rPr>
          <w:sz w:val="28"/>
          <w:szCs w:val="28"/>
        </w:rPr>
        <w:t xml:space="preserve">, які володіють </w:t>
      </w:r>
      <w:proofErr w:type="spellStart"/>
      <w:r>
        <w:rPr>
          <w:sz w:val="28"/>
          <w:szCs w:val="28"/>
        </w:rPr>
        <w:t>імуносупресорною</w:t>
      </w:r>
      <w:proofErr w:type="spellEnd"/>
      <w:r>
        <w:rPr>
          <w:sz w:val="28"/>
          <w:szCs w:val="28"/>
        </w:rPr>
        <w:t xml:space="preserve"> активністю. Вони здатні активувати Т-</w:t>
      </w:r>
      <w:proofErr w:type="spellStart"/>
      <w:r>
        <w:rPr>
          <w:sz w:val="28"/>
          <w:szCs w:val="28"/>
        </w:rPr>
        <w:t>супресори</w:t>
      </w:r>
      <w:proofErr w:type="spellEnd"/>
      <w:r>
        <w:rPr>
          <w:sz w:val="28"/>
          <w:szCs w:val="28"/>
        </w:rPr>
        <w:t xml:space="preserve">, які в свою чергу активують функцію </w:t>
      </w:r>
      <w:proofErr w:type="spellStart"/>
      <w:r>
        <w:rPr>
          <w:sz w:val="28"/>
          <w:szCs w:val="28"/>
        </w:rPr>
        <w:t>остеокластів</w:t>
      </w:r>
      <w:proofErr w:type="spellEnd"/>
      <w:r>
        <w:rPr>
          <w:sz w:val="28"/>
          <w:szCs w:val="28"/>
        </w:rPr>
        <w:t>, викликаючи деструкцію кісткової тканини.</w:t>
      </w:r>
    </w:p>
    <w:p w14:paraId="2392E5CE" w14:textId="77777777" w:rsidR="002B0634" w:rsidRDefault="00000000">
      <w:pPr>
        <w:ind w:firstLine="540"/>
        <w:jc w:val="both"/>
        <w:rPr>
          <w:sz w:val="28"/>
          <w:szCs w:val="28"/>
        </w:rPr>
      </w:pPr>
      <w:r>
        <w:rPr>
          <w:i/>
          <w:sz w:val="28"/>
          <w:szCs w:val="28"/>
        </w:rPr>
        <w:lastRenderedPageBreak/>
        <w:t>Ферменти</w:t>
      </w:r>
      <w:r>
        <w:rPr>
          <w:sz w:val="28"/>
          <w:szCs w:val="28"/>
        </w:rPr>
        <w:t xml:space="preserve">, що продукуються мікроорганізмами і здатні викликати пошкодження тканин пародонту: </w:t>
      </w:r>
    </w:p>
    <w:p w14:paraId="5586DEA9" w14:textId="77777777" w:rsidR="002B0634" w:rsidRDefault="00000000">
      <w:pPr>
        <w:numPr>
          <w:ilvl w:val="0"/>
          <w:numId w:val="5"/>
        </w:numPr>
        <w:ind w:left="0"/>
        <w:jc w:val="both"/>
        <w:rPr>
          <w:sz w:val="28"/>
          <w:szCs w:val="28"/>
        </w:rPr>
      </w:pPr>
      <w:proofErr w:type="spellStart"/>
      <w:r>
        <w:rPr>
          <w:sz w:val="28"/>
          <w:szCs w:val="28"/>
        </w:rPr>
        <w:t>гіалуронідаза</w:t>
      </w:r>
      <w:proofErr w:type="spellEnd"/>
      <w:r>
        <w:rPr>
          <w:sz w:val="28"/>
          <w:szCs w:val="28"/>
        </w:rPr>
        <w:t xml:space="preserve"> – викликає </w:t>
      </w:r>
      <w:proofErr w:type="spellStart"/>
      <w:r>
        <w:rPr>
          <w:sz w:val="28"/>
          <w:szCs w:val="28"/>
        </w:rPr>
        <w:t>деполімеризацію</w:t>
      </w:r>
      <w:proofErr w:type="spellEnd"/>
      <w:r>
        <w:rPr>
          <w:sz w:val="28"/>
          <w:szCs w:val="28"/>
        </w:rPr>
        <w:t xml:space="preserve"> міжклітинної речовини, </w:t>
      </w:r>
      <w:proofErr w:type="spellStart"/>
      <w:r>
        <w:rPr>
          <w:sz w:val="28"/>
          <w:szCs w:val="28"/>
        </w:rPr>
        <w:t>вакуолізацію</w:t>
      </w:r>
      <w:proofErr w:type="spellEnd"/>
      <w:r>
        <w:rPr>
          <w:sz w:val="28"/>
          <w:szCs w:val="28"/>
        </w:rPr>
        <w:t xml:space="preserve"> фібробластів, розширення судин, утворення лейкоцитарних інфільтратів</w:t>
      </w:r>
    </w:p>
    <w:p w14:paraId="3218D688" w14:textId="77777777" w:rsidR="002B0634" w:rsidRDefault="00000000">
      <w:pPr>
        <w:numPr>
          <w:ilvl w:val="0"/>
          <w:numId w:val="5"/>
        </w:numPr>
        <w:ind w:left="0"/>
        <w:jc w:val="both"/>
        <w:rPr>
          <w:sz w:val="28"/>
          <w:szCs w:val="28"/>
        </w:rPr>
      </w:pPr>
      <w:proofErr w:type="spellStart"/>
      <w:r>
        <w:rPr>
          <w:sz w:val="28"/>
          <w:szCs w:val="28"/>
        </w:rPr>
        <w:t>колагеназа</w:t>
      </w:r>
      <w:proofErr w:type="spellEnd"/>
      <w:r>
        <w:rPr>
          <w:sz w:val="28"/>
          <w:szCs w:val="28"/>
        </w:rPr>
        <w:t xml:space="preserve"> – потенціює патогенну дію </w:t>
      </w:r>
      <w:proofErr w:type="spellStart"/>
      <w:r>
        <w:rPr>
          <w:sz w:val="28"/>
          <w:szCs w:val="28"/>
        </w:rPr>
        <w:t>гіалуронідази</w:t>
      </w:r>
      <w:proofErr w:type="spellEnd"/>
      <w:r>
        <w:rPr>
          <w:sz w:val="28"/>
          <w:szCs w:val="28"/>
        </w:rPr>
        <w:t>, викликає гідроліз колагенових волокон</w:t>
      </w:r>
    </w:p>
    <w:p w14:paraId="7DEAF0C6" w14:textId="77777777" w:rsidR="002B0634" w:rsidRDefault="00000000">
      <w:pPr>
        <w:numPr>
          <w:ilvl w:val="0"/>
          <w:numId w:val="5"/>
        </w:numPr>
        <w:ind w:left="0"/>
        <w:jc w:val="both"/>
        <w:rPr>
          <w:sz w:val="28"/>
          <w:szCs w:val="28"/>
        </w:rPr>
      </w:pPr>
      <w:r>
        <w:rPr>
          <w:sz w:val="28"/>
          <w:szCs w:val="28"/>
        </w:rPr>
        <w:t xml:space="preserve">бактеріальна </w:t>
      </w:r>
      <w:proofErr w:type="spellStart"/>
      <w:r>
        <w:rPr>
          <w:sz w:val="28"/>
          <w:szCs w:val="28"/>
        </w:rPr>
        <w:t>нейрамінідаза</w:t>
      </w:r>
      <w:proofErr w:type="spellEnd"/>
      <w:r>
        <w:rPr>
          <w:sz w:val="28"/>
          <w:szCs w:val="28"/>
        </w:rPr>
        <w:t xml:space="preserve"> – пригнічує </w:t>
      </w:r>
      <w:proofErr w:type="spellStart"/>
      <w:r>
        <w:rPr>
          <w:sz w:val="28"/>
          <w:szCs w:val="28"/>
        </w:rPr>
        <w:t>імунокомпетентні</w:t>
      </w:r>
      <w:proofErr w:type="spellEnd"/>
      <w:r>
        <w:rPr>
          <w:sz w:val="28"/>
          <w:szCs w:val="28"/>
        </w:rPr>
        <w:t xml:space="preserve"> клітини, підвищує проникність тканин</w:t>
      </w:r>
    </w:p>
    <w:p w14:paraId="3923E62C" w14:textId="77777777" w:rsidR="002B0634" w:rsidRDefault="00000000">
      <w:pPr>
        <w:numPr>
          <w:ilvl w:val="0"/>
          <w:numId w:val="5"/>
        </w:numPr>
        <w:ind w:left="0"/>
        <w:jc w:val="both"/>
        <w:rPr>
          <w:sz w:val="28"/>
          <w:szCs w:val="28"/>
        </w:rPr>
      </w:pPr>
      <w:r>
        <w:rPr>
          <w:sz w:val="28"/>
          <w:szCs w:val="28"/>
        </w:rPr>
        <w:t>фосфоліпаза С – викликає лізис мембран лейкоцитів та гальмує фагоцитоз</w:t>
      </w:r>
    </w:p>
    <w:p w14:paraId="314204C5" w14:textId="77777777" w:rsidR="002B0634" w:rsidRDefault="00000000">
      <w:pPr>
        <w:numPr>
          <w:ilvl w:val="0"/>
          <w:numId w:val="5"/>
        </w:numPr>
        <w:ind w:left="0"/>
        <w:jc w:val="both"/>
        <w:rPr>
          <w:sz w:val="28"/>
          <w:szCs w:val="28"/>
        </w:rPr>
      </w:pPr>
      <w:proofErr w:type="spellStart"/>
      <w:r>
        <w:rPr>
          <w:sz w:val="28"/>
          <w:szCs w:val="28"/>
        </w:rPr>
        <w:t>еластаза</w:t>
      </w:r>
      <w:proofErr w:type="spellEnd"/>
      <w:r>
        <w:rPr>
          <w:sz w:val="28"/>
          <w:szCs w:val="28"/>
        </w:rPr>
        <w:t xml:space="preserve"> – сприяє кровоточивості ясен.</w:t>
      </w:r>
    </w:p>
    <w:p w14:paraId="4CBDCACA" w14:textId="77777777" w:rsidR="002B0634" w:rsidRDefault="00000000">
      <w:pPr>
        <w:ind w:firstLine="472"/>
        <w:jc w:val="both"/>
        <w:rPr>
          <w:sz w:val="28"/>
          <w:szCs w:val="28"/>
        </w:rPr>
      </w:pPr>
      <w:r>
        <w:rPr>
          <w:sz w:val="28"/>
          <w:szCs w:val="28"/>
        </w:rPr>
        <w:t xml:space="preserve">З іншого боку, мікроорганізми зубної бляшки стимулюють хемотаксис </w:t>
      </w:r>
      <w:proofErr w:type="spellStart"/>
      <w:r>
        <w:rPr>
          <w:sz w:val="28"/>
          <w:szCs w:val="28"/>
        </w:rPr>
        <w:t>нейтрофілів</w:t>
      </w:r>
      <w:proofErr w:type="spellEnd"/>
      <w:r>
        <w:rPr>
          <w:sz w:val="28"/>
          <w:szCs w:val="28"/>
        </w:rPr>
        <w:t xml:space="preserve">, їх кількість збільшується в ясенній рідині, а також у тканинах ясен, що контактують з зубною бляшкою. При </w:t>
      </w:r>
      <w:proofErr w:type="spellStart"/>
      <w:r>
        <w:rPr>
          <w:sz w:val="28"/>
          <w:szCs w:val="28"/>
        </w:rPr>
        <w:t>дегрануляції</w:t>
      </w:r>
      <w:proofErr w:type="spellEnd"/>
      <w:r>
        <w:rPr>
          <w:sz w:val="28"/>
          <w:szCs w:val="28"/>
        </w:rPr>
        <w:t xml:space="preserve"> </w:t>
      </w:r>
      <w:proofErr w:type="spellStart"/>
      <w:r>
        <w:rPr>
          <w:sz w:val="28"/>
          <w:szCs w:val="28"/>
        </w:rPr>
        <w:t>нейтрофілів</w:t>
      </w:r>
      <w:proofErr w:type="spellEnd"/>
      <w:r>
        <w:rPr>
          <w:sz w:val="28"/>
          <w:szCs w:val="28"/>
        </w:rPr>
        <w:t xml:space="preserve"> виділяються </w:t>
      </w:r>
      <w:proofErr w:type="spellStart"/>
      <w:r>
        <w:rPr>
          <w:sz w:val="28"/>
          <w:szCs w:val="28"/>
        </w:rPr>
        <w:t>лізосомальні</w:t>
      </w:r>
      <w:proofErr w:type="spellEnd"/>
      <w:r>
        <w:rPr>
          <w:sz w:val="28"/>
          <w:szCs w:val="28"/>
        </w:rPr>
        <w:t xml:space="preserve"> ферменти, що мають цитотоксичну дію і є медіаторами запалення. </w:t>
      </w:r>
    </w:p>
    <w:p w14:paraId="28197D54" w14:textId="77777777" w:rsidR="002B0634" w:rsidRDefault="00000000">
      <w:pPr>
        <w:numPr>
          <w:ilvl w:val="0"/>
          <w:numId w:val="6"/>
        </w:numPr>
        <w:ind w:left="0"/>
        <w:jc w:val="both"/>
        <w:rPr>
          <w:sz w:val="28"/>
          <w:szCs w:val="28"/>
        </w:rPr>
      </w:pPr>
      <w:proofErr w:type="spellStart"/>
      <w:r>
        <w:rPr>
          <w:sz w:val="28"/>
          <w:szCs w:val="28"/>
        </w:rPr>
        <w:t>простагландини</w:t>
      </w:r>
      <w:proofErr w:type="spellEnd"/>
      <w:r>
        <w:rPr>
          <w:sz w:val="28"/>
          <w:szCs w:val="28"/>
        </w:rPr>
        <w:t xml:space="preserve"> і </w:t>
      </w:r>
      <w:proofErr w:type="spellStart"/>
      <w:r>
        <w:rPr>
          <w:sz w:val="28"/>
          <w:szCs w:val="28"/>
        </w:rPr>
        <w:t>тромбоксани</w:t>
      </w:r>
      <w:proofErr w:type="spellEnd"/>
      <w:r>
        <w:rPr>
          <w:sz w:val="28"/>
          <w:szCs w:val="28"/>
        </w:rPr>
        <w:t xml:space="preserve"> – викликають порушення згортання крові та мікроциркуляції</w:t>
      </w:r>
    </w:p>
    <w:p w14:paraId="74E9C01A" w14:textId="77777777" w:rsidR="002B0634" w:rsidRDefault="00000000">
      <w:pPr>
        <w:numPr>
          <w:ilvl w:val="0"/>
          <w:numId w:val="6"/>
        </w:numPr>
        <w:ind w:left="0"/>
        <w:jc w:val="both"/>
        <w:rPr>
          <w:sz w:val="28"/>
          <w:szCs w:val="28"/>
        </w:rPr>
      </w:pPr>
      <w:proofErr w:type="spellStart"/>
      <w:r>
        <w:rPr>
          <w:sz w:val="28"/>
          <w:szCs w:val="28"/>
        </w:rPr>
        <w:t>лейкотрієни</w:t>
      </w:r>
      <w:proofErr w:type="spellEnd"/>
      <w:r>
        <w:rPr>
          <w:sz w:val="28"/>
          <w:szCs w:val="28"/>
        </w:rPr>
        <w:t xml:space="preserve"> – відіграють роль у імунних та запальних процесах.</w:t>
      </w:r>
    </w:p>
    <w:p w14:paraId="467B9550" w14:textId="77777777" w:rsidR="002B0634" w:rsidRDefault="00000000">
      <w:pPr>
        <w:ind w:firstLine="360"/>
        <w:jc w:val="both"/>
        <w:rPr>
          <w:sz w:val="28"/>
          <w:szCs w:val="28"/>
        </w:rPr>
      </w:pPr>
      <w:r>
        <w:rPr>
          <w:sz w:val="28"/>
          <w:szCs w:val="28"/>
        </w:rPr>
        <w:t xml:space="preserve">Тривалий контакт мікроорганізмів та тканин пародонту призводить до розвитку імунних та </w:t>
      </w:r>
      <w:proofErr w:type="spellStart"/>
      <w:r>
        <w:rPr>
          <w:sz w:val="28"/>
          <w:szCs w:val="28"/>
        </w:rPr>
        <w:t>аутоімунних</w:t>
      </w:r>
      <w:proofErr w:type="spellEnd"/>
      <w:r>
        <w:rPr>
          <w:sz w:val="28"/>
          <w:szCs w:val="28"/>
        </w:rPr>
        <w:t xml:space="preserve"> порушень. Розвиваються анафілактичні реакції, цитотоксичні, імунних комплексів та клітинні реакції.</w:t>
      </w:r>
    </w:p>
    <w:p w14:paraId="0E1BFF3F" w14:textId="77777777" w:rsidR="002B0634" w:rsidRDefault="00000000">
      <w:pPr>
        <w:numPr>
          <w:ilvl w:val="0"/>
          <w:numId w:val="7"/>
        </w:numPr>
        <w:ind w:left="0" w:hanging="360"/>
        <w:jc w:val="both"/>
        <w:rPr>
          <w:sz w:val="28"/>
          <w:szCs w:val="28"/>
        </w:rPr>
      </w:pPr>
      <w:r>
        <w:rPr>
          <w:sz w:val="28"/>
          <w:szCs w:val="28"/>
        </w:rPr>
        <w:t xml:space="preserve">при анафілактичних реакціях плазматичні клітини виробляють </w:t>
      </w:r>
      <w:proofErr w:type="spellStart"/>
      <w:r>
        <w:rPr>
          <w:sz w:val="28"/>
          <w:szCs w:val="28"/>
        </w:rPr>
        <w:t>IgE</w:t>
      </w:r>
      <w:proofErr w:type="spellEnd"/>
      <w:r>
        <w:rPr>
          <w:sz w:val="28"/>
          <w:szCs w:val="28"/>
        </w:rPr>
        <w:t>, який фіксується на тканинних базофілах. При утворенні комплексу антиген-</w:t>
      </w:r>
      <w:proofErr w:type="spellStart"/>
      <w:r>
        <w:rPr>
          <w:sz w:val="28"/>
          <w:szCs w:val="28"/>
        </w:rPr>
        <w:t>атитіло</w:t>
      </w:r>
      <w:proofErr w:type="spellEnd"/>
      <w:r>
        <w:rPr>
          <w:sz w:val="28"/>
          <w:szCs w:val="28"/>
        </w:rPr>
        <w:t xml:space="preserve"> на поверхні клітини відбувається </w:t>
      </w:r>
      <w:proofErr w:type="spellStart"/>
      <w:r>
        <w:rPr>
          <w:sz w:val="28"/>
          <w:szCs w:val="28"/>
        </w:rPr>
        <w:t>дегрануляція</w:t>
      </w:r>
      <w:proofErr w:type="spellEnd"/>
      <w:r>
        <w:rPr>
          <w:sz w:val="28"/>
          <w:szCs w:val="28"/>
        </w:rPr>
        <w:t xml:space="preserve"> базофіла на вивільнення </w:t>
      </w:r>
      <w:proofErr w:type="spellStart"/>
      <w:r>
        <w:rPr>
          <w:sz w:val="28"/>
          <w:szCs w:val="28"/>
        </w:rPr>
        <w:t>гістаміну</w:t>
      </w:r>
      <w:proofErr w:type="spellEnd"/>
      <w:r>
        <w:rPr>
          <w:sz w:val="28"/>
          <w:szCs w:val="28"/>
        </w:rPr>
        <w:t xml:space="preserve"> та інших медіаторів запалення.</w:t>
      </w:r>
    </w:p>
    <w:p w14:paraId="631BDDEA" w14:textId="77777777" w:rsidR="002B0634" w:rsidRDefault="00000000">
      <w:pPr>
        <w:numPr>
          <w:ilvl w:val="0"/>
          <w:numId w:val="7"/>
        </w:numPr>
        <w:ind w:left="0" w:hanging="360"/>
        <w:jc w:val="both"/>
        <w:rPr>
          <w:sz w:val="28"/>
          <w:szCs w:val="28"/>
        </w:rPr>
      </w:pPr>
      <w:r>
        <w:rPr>
          <w:sz w:val="28"/>
          <w:szCs w:val="28"/>
        </w:rPr>
        <w:t xml:space="preserve">при цитотоксичних реакціях антигеном є частина клітини або тканини, реакція відбувається при взаємодії з такими антигенами </w:t>
      </w:r>
      <w:proofErr w:type="spellStart"/>
      <w:r>
        <w:rPr>
          <w:sz w:val="28"/>
          <w:szCs w:val="28"/>
        </w:rPr>
        <w:t>IgG</w:t>
      </w:r>
      <w:proofErr w:type="spellEnd"/>
      <w:r>
        <w:rPr>
          <w:sz w:val="28"/>
          <w:szCs w:val="28"/>
        </w:rPr>
        <w:t xml:space="preserve"> та </w:t>
      </w:r>
      <w:proofErr w:type="spellStart"/>
      <w:r>
        <w:rPr>
          <w:sz w:val="28"/>
          <w:szCs w:val="28"/>
        </w:rPr>
        <w:t>IgM</w:t>
      </w:r>
      <w:proofErr w:type="spellEnd"/>
      <w:r>
        <w:rPr>
          <w:sz w:val="28"/>
          <w:szCs w:val="28"/>
        </w:rPr>
        <w:t>. При цій реакції запускається система комплементу.</w:t>
      </w:r>
    </w:p>
    <w:p w14:paraId="3F1D4588" w14:textId="77777777" w:rsidR="002B0634" w:rsidRDefault="00000000">
      <w:pPr>
        <w:numPr>
          <w:ilvl w:val="0"/>
          <w:numId w:val="7"/>
        </w:numPr>
        <w:ind w:left="0" w:hanging="360"/>
        <w:jc w:val="both"/>
        <w:rPr>
          <w:sz w:val="28"/>
          <w:szCs w:val="28"/>
        </w:rPr>
      </w:pPr>
      <w:r>
        <w:rPr>
          <w:sz w:val="28"/>
          <w:szCs w:val="28"/>
        </w:rPr>
        <w:t xml:space="preserve">при реакціях імунних комплексів відбувається </w:t>
      </w:r>
      <w:proofErr w:type="spellStart"/>
      <w:r>
        <w:rPr>
          <w:sz w:val="28"/>
          <w:szCs w:val="28"/>
        </w:rPr>
        <w:t>мікропреципітація</w:t>
      </w:r>
      <w:proofErr w:type="spellEnd"/>
      <w:r>
        <w:rPr>
          <w:sz w:val="28"/>
          <w:szCs w:val="28"/>
        </w:rPr>
        <w:t xml:space="preserve"> антигенів та антитіл, що містять </w:t>
      </w:r>
      <w:proofErr w:type="spellStart"/>
      <w:r>
        <w:rPr>
          <w:sz w:val="28"/>
          <w:szCs w:val="28"/>
        </w:rPr>
        <w:t>IgG</w:t>
      </w:r>
      <w:proofErr w:type="spellEnd"/>
      <w:r>
        <w:rPr>
          <w:sz w:val="28"/>
          <w:szCs w:val="28"/>
        </w:rPr>
        <w:t xml:space="preserve"> та </w:t>
      </w:r>
      <w:proofErr w:type="spellStart"/>
      <w:r>
        <w:rPr>
          <w:sz w:val="28"/>
          <w:szCs w:val="28"/>
        </w:rPr>
        <w:t>IgM</w:t>
      </w:r>
      <w:proofErr w:type="spellEnd"/>
      <w:r>
        <w:rPr>
          <w:sz w:val="28"/>
          <w:szCs w:val="28"/>
        </w:rPr>
        <w:t xml:space="preserve">, в кровоносних судинах та навколо них в тканинах. При цьому відбуваються істотні порушення </w:t>
      </w:r>
      <w:proofErr w:type="spellStart"/>
      <w:r>
        <w:rPr>
          <w:sz w:val="28"/>
          <w:szCs w:val="28"/>
        </w:rPr>
        <w:t>мікроциркуляторного</w:t>
      </w:r>
      <w:proofErr w:type="spellEnd"/>
      <w:r>
        <w:rPr>
          <w:sz w:val="28"/>
          <w:szCs w:val="28"/>
        </w:rPr>
        <w:t xml:space="preserve"> русла та розвивається масивна лейкоцитарна інфільтрація, внаслідок якої утворюються нові ферменти, що продовжують пошкоджувати тканини.</w:t>
      </w:r>
    </w:p>
    <w:p w14:paraId="61013EFB" w14:textId="77777777" w:rsidR="002B0634" w:rsidRDefault="00000000">
      <w:pPr>
        <w:numPr>
          <w:ilvl w:val="0"/>
          <w:numId w:val="7"/>
        </w:numPr>
        <w:ind w:left="0" w:hanging="360"/>
        <w:jc w:val="both"/>
        <w:rPr>
          <w:sz w:val="28"/>
          <w:szCs w:val="28"/>
        </w:rPr>
      </w:pPr>
      <w:proofErr w:type="spellStart"/>
      <w:r>
        <w:rPr>
          <w:sz w:val="28"/>
          <w:szCs w:val="28"/>
        </w:rPr>
        <w:t>клітинно</w:t>
      </w:r>
      <w:proofErr w:type="spellEnd"/>
      <w:r>
        <w:rPr>
          <w:sz w:val="28"/>
          <w:szCs w:val="28"/>
        </w:rPr>
        <w:t>-опосередковані реакції передбачають активацію Т-лімфоцитів. Пошкодження тканин здійснюється Т-</w:t>
      </w:r>
      <w:proofErr w:type="spellStart"/>
      <w:r>
        <w:rPr>
          <w:sz w:val="28"/>
          <w:szCs w:val="28"/>
        </w:rPr>
        <w:t>кілерами</w:t>
      </w:r>
      <w:proofErr w:type="spellEnd"/>
      <w:r>
        <w:rPr>
          <w:sz w:val="28"/>
          <w:szCs w:val="28"/>
        </w:rPr>
        <w:t>, які чинять цитотоксичну дію на тканини, та Т-</w:t>
      </w:r>
      <w:proofErr w:type="spellStart"/>
      <w:r>
        <w:rPr>
          <w:sz w:val="28"/>
          <w:szCs w:val="28"/>
        </w:rPr>
        <w:t>ефекторами</w:t>
      </w:r>
      <w:proofErr w:type="spellEnd"/>
      <w:r>
        <w:rPr>
          <w:sz w:val="28"/>
          <w:szCs w:val="28"/>
        </w:rPr>
        <w:t xml:space="preserve"> (</w:t>
      </w:r>
      <w:proofErr w:type="spellStart"/>
      <w:r>
        <w:rPr>
          <w:sz w:val="28"/>
          <w:szCs w:val="28"/>
        </w:rPr>
        <w:t>супресорами</w:t>
      </w:r>
      <w:proofErr w:type="spellEnd"/>
      <w:r>
        <w:rPr>
          <w:sz w:val="28"/>
          <w:szCs w:val="28"/>
        </w:rPr>
        <w:t xml:space="preserve">), які утворюють </w:t>
      </w:r>
      <w:proofErr w:type="spellStart"/>
      <w:r>
        <w:rPr>
          <w:sz w:val="28"/>
          <w:szCs w:val="28"/>
        </w:rPr>
        <w:t>лімфокіни</w:t>
      </w:r>
      <w:proofErr w:type="spellEnd"/>
      <w:r>
        <w:rPr>
          <w:sz w:val="28"/>
          <w:szCs w:val="28"/>
        </w:rPr>
        <w:t xml:space="preserve">, зокрема </w:t>
      </w:r>
      <w:proofErr w:type="spellStart"/>
      <w:r>
        <w:rPr>
          <w:sz w:val="28"/>
          <w:szCs w:val="28"/>
        </w:rPr>
        <w:t>остеокласт</w:t>
      </w:r>
      <w:proofErr w:type="spellEnd"/>
      <w:r>
        <w:rPr>
          <w:sz w:val="28"/>
          <w:szCs w:val="28"/>
        </w:rPr>
        <w:t>-активуючий фактор. При цьому також порушується поділ фібробластів та синтез колагену.</w:t>
      </w:r>
    </w:p>
    <w:p w14:paraId="07DA1574" w14:textId="77777777" w:rsidR="002B0634" w:rsidRDefault="00000000">
      <w:pPr>
        <w:ind w:firstLine="540"/>
        <w:jc w:val="both"/>
        <w:rPr>
          <w:sz w:val="28"/>
          <w:szCs w:val="28"/>
        </w:rPr>
      </w:pPr>
      <w:r>
        <w:rPr>
          <w:sz w:val="28"/>
          <w:szCs w:val="28"/>
        </w:rPr>
        <w:t xml:space="preserve">Підтверджують вирішальну роль мікрофлори зубної бляшки  у розвитку </w:t>
      </w:r>
      <w:proofErr w:type="spellStart"/>
      <w:r>
        <w:rPr>
          <w:sz w:val="28"/>
          <w:szCs w:val="28"/>
        </w:rPr>
        <w:t>пародонтиту</w:t>
      </w:r>
      <w:proofErr w:type="spellEnd"/>
      <w:r>
        <w:rPr>
          <w:sz w:val="28"/>
          <w:szCs w:val="28"/>
        </w:rPr>
        <w:t xml:space="preserve"> дослідження на </w:t>
      </w:r>
      <w:proofErr w:type="spellStart"/>
      <w:r>
        <w:rPr>
          <w:sz w:val="28"/>
          <w:szCs w:val="28"/>
        </w:rPr>
        <w:t>гнотобіотичних</w:t>
      </w:r>
      <w:proofErr w:type="spellEnd"/>
      <w:r>
        <w:rPr>
          <w:sz w:val="28"/>
          <w:szCs w:val="28"/>
        </w:rPr>
        <w:t xml:space="preserve"> тваринах. Введення мікроорганізмів з </w:t>
      </w:r>
      <w:proofErr w:type="spellStart"/>
      <w:r>
        <w:rPr>
          <w:sz w:val="28"/>
          <w:szCs w:val="28"/>
        </w:rPr>
        <w:t>пародонтальних</w:t>
      </w:r>
      <w:proofErr w:type="spellEnd"/>
      <w:r>
        <w:rPr>
          <w:sz w:val="28"/>
          <w:szCs w:val="28"/>
        </w:rPr>
        <w:t xml:space="preserve"> кишень людини у ясенну борозну експериментальних тварин, </w:t>
      </w:r>
      <w:r>
        <w:rPr>
          <w:sz w:val="28"/>
          <w:szCs w:val="28"/>
        </w:rPr>
        <w:lastRenderedPageBreak/>
        <w:t>вирощених у стерильних умовах, призводять до розвитку запалення, деструкції сполучної тканини та швидкій втраті кісткової тканини.</w:t>
      </w:r>
    </w:p>
    <w:p w14:paraId="5475B6B1" w14:textId="77777777" w:rsidR="002B0634" w:rsidRDefault="00000000">
      <w:pPr>
        <w:jc w:val="both"/>
        <w:rPr>
          <w:b/>
          <w:i/>
          <w:sz w:val="28"/>
          <w:szCs w:val="28"/>
        </w:rPr>
      </w:pPr>
      <w:r>
        <w:rPr>
          <w:sz w:val="28"/>
          <w:szCs w:val="28"/>
        </w:rPr>
        <w:t xml:space="preserve">3. </w:t>
      </w:r>
      <w:r>
        <w:rPr>
          <w:b/>
          <w:i/>
          <w:sz w:val="28"/>
          <w:szCs w:val="28"/>
        </w:rPr>
        <w:t>Перекисне окислення ліпідів</w:t>
      </w:r>
    </w:p>
    <w:p w14:paraId="42EE7CF1" w14:textId="77777777" w:rsidR="002B0634" w:rsidRDefault="00000000">
      <w:pPr>
        <w:ind w:firstLine="540"/>
        <w:jc w:val="both"/>
        <w:rPr>
          <w:sz w:val="28"/>
          <w:szCs w:val="28"/>
        </w:rPr>
      </w:pPr>
      <w:r>
        <w:rPr>
          <w:sz w:val="28"/>
          <w:szCs w:val="28"/>
        </w:rPr>
        <w:t xml:space="preserve">Окисно-відновні реакції є частиною </w:t>
      </w:r>
      <w:proofErr w:type="spellStart"/>
      <w:r>
        <w:rPr>
          <w:sz w:val="28"/>
          <w:szCs w:val="28"/>
        </w:rPr>
        <w:t>метаболізма</w:t>
      </w:r>
      <w:proofErr w:type="spellEnd"/>
      <w:r>
        <w:rPr>
          <w:sz w:val="28"/>
          <w:szCs w:val="28"/>
        </w:rPr>
        <w:t xml:space="preserve"> в клітинах і необхідні для забезпечення енергетичних потреб в тканинах. При окисно-відновних реакціях можливе утворення активних форм кисню: - </w:t>
      </w:r>
      <w:proofErr w:type="spellStart"/>
      <w:r>
        <w:rPr>
          <w:sz w:val="28"/>
          <w:szCs w:val="28"/>
        </w:rPr>
        <w:t>супероксидний</w:t>
      </w:r>
      <w:proofErr w:type="spellEnd"/>
      <w:r>
        <w:rPr>
          <w:sz w:val="28"/>
          <w:szCs w:val="28"/>
        </w:rPr>
        <w:t xml:space="preserve"> радикал О</w:t>
      </w:r>
      <w:r>
        <w:rPr>
          <w:sz w:val="28"/>
          <w:szCs w:val="28"/>
          <w:vertAlign w:val="subscript"/>
        </w:rPr>
        <w:t>2</w:t>
      </w:r>
      <w:r>
        <w:rPr>
          <w:sz w:val="28"/>
          <w:szCs w:val="28"/>
          <w:vertAlign w:val="superscript"/>
        </w:rPr>
        <w:t>-</w:t>
      </w:r>
    </w:p>
    <w:p w14:paraId="523BFED2" w14:textId="77777777" w:rsidR="002B0634" w:rsidRDefault="00000000">
      <w:pPr>
        <w:numPr>
          <w:ilvl w:val="0"/>
          <w:numId w:val="8"/>
        </w:numPr>
        <w:ind w:left="0"/>
        <w:jc w:val="both"/>
        <w:rPr>
          <w:sz w:val="28"/>
          <w:szCs w:val="28"/>
        </w:rPr>
      </w:pPr>
      <w:r>
        <w:rPr>
          <w:sz w:val="28"/>
          <w:szCs w:val="28"/>
        </w:rPr>
        <w:t>перекис водню Н</w:t>
      </w:r>
      <w:r>
        <w:rPr>
          <w:sz w:val="28"/>
          <w:szCs w:val="28"/>
          <w:vertAlign w:val="subscript"/>
        </w:rPr>
        <w:t>2</w:t>
      </w:r>
      <w:r>
        <w:rPr>
          <w:sz w:val="28"/>
          <w:szCs w:val="28"/>
        </w:rPr>
        <w:t>О</w:t>
      </w:r>
      <w:r>
        <w:rPr>
          <w:sz w:val="28"/>
          <w:szCs w:val="28"/>
          <w:vertAlign w:val="subscript"/>
        </w:rPr>
        <w:t>2</w:t>
      </w:r>
    </w:p>
    <w:p w14:paraId="62AB8CE3" w14:textId="77777777" w:rsidR="002B0634" w:rsidRDefault="00000000">
      <w:pPr>
        <w:numPr>
          <w:ilvl w:val="0"/>
          <w:numId w:val="8"/>
        </w:numPr>
        <w:ind w:left="0"/>
        <w:jc w:val="both"/>
        <w:rPr>
          <w:sz w:val="28"/>
          <w:szCs w:val="28"/>
        </w:rPr>
      </w:pPr>
      <w:r>
        <w:rPr>
          <w:sz w:val="28"/>
          <w:szCs w:val="28"/>
        </w:rPr>
        <w:t>гідроксильний радикал ОН</w:t>
      </w:r>
      <w:r>
        <w:rPr>
          <w:sz w:val="28"/>
          <w:szCs w:val="28"/>
          <w:vertAlign w:val="superscript"/>
        </w:rPr>
        <w:t>-</w:t>
      </w:r>
    </w:p>
    <w:p w14:paraId="6A48CF0F" w14:textId="77777777" w:rsidR="002B0634" w:rsidRDefault="00000000">
      <w:pPr>
        <w:numPr>
          <w:ilvl w:val="0"/>
          <w:numId w:val="8"/>
        </w:numPr>
        <w:ind w:left="0"/>
        <w:jc w:val="both"/>
        <w:rPr>
          <w:sz w:val="28"/>
          <w:szCs w:val="28"/>
        </w:rPr>
      </w:pPr>
      <w:r>
        <w:rPr>
          <w:sz w:val="28"/>
          <w:szCs w:val="28"/>
        </w:rPr>
        <w:t>синглетний кисень О</w:t>
      </w:r>
      <w:r>
        <w:rPr>
          <w:sz w:val="28"/>
          <w:szCs w:val="28"/>
          <w:vertAlign w:val="subscript"/>
        </w:rPr>
        <w:t>2</w:t>
      </w:r>
      <w:r>
        <w:rPr>
          <w:sz w:val="28"/>
          <w:szCs w:val="28"/>
        </w:rPr>
        <w:t>хН</w:t>
      </w:r>
    </w:p>
    <w:p w14:paraId="063C5030" w14:textId="77777777" w:rsidR="002B0634" w:rsidRDefault="00000000">
      <w:pPr>
        <w:ind w:firstLine="472"/>
        <w:jc w:val="both"/>
        <w:rPr>
          <w:sz w:val="28"/>
          <w:szCs w:val="28"/>
        </w:rPr>
      </w:pPr>
      <w:r>
        <w:rPr>
          <w:sz w:val="28"/>
          <w:szCs w:val="28"/>
        </w:rPr>
        <w:t>Взагалі, вільно радикальне окислення є фізіологічним контрольованим процесом, необхідне для синтезу ряду БАР.</w:t>
      </w:r>
    </w:p>
    <w:p w14:paraId="52DCFDD4" w14:textId="77777777" w:rsidR="002B0634" w:rsidRDefault="00000000">
      <w:pPr>
        <w:ind w:firstLine="472"/>
        <w:jc w:val="both"/>
        <w:rPr>
          <w:sz w:val="28"/>
          <w:szCs w:val="28"/>
        </w:rPr>
      </w:pPr>
      <w:r>
        <w:rPr>
          <w:sz w:val="28"/>
          <w:szCs w:val="28"/>
        </w:rPr>
        <w:t xml:space="preserve">Однак, при порушенні рівноваги окисно-відновних реакцій вільні кисневі радикали мають негативну дію. Ці частинки, що мають вільні валентності, легко вступають у взаємодію з </w:t>
      </w:r>
      <w:proofErr w:type="spellStart"/>
      <w:r>
        <w:rPr>
          <w:sz w:val="28"/>
          <w:szCs w:val="28"/>
        </w:rPr>
        <w:t>біомолекулами</w:t>
      </w:r>
      <w:proofErr w:type="spellEnd"/>
      <w:r>
        <w:rPr>
          <w:sz w:val="28"/>
          <w:szCs w:val="28"/>
        </w:rPr>
        <w:t xml:space="preserve">, порушуючи їх структуру і функцію. Реакції неконтрольованого </w:t>
      </w:r>
      <w:proofErr w:type="spellStart"/>
      <w:r>
        <w:rPr>
          <w:sz w:val="28"/>
          <w:szCs w:val="28"/>
        </w:rPr>
        <w:t>перекисного</w:t>
      </w:r>
      <w:proofErr w:type="spellEnd"/>
      <w:r>
        <w:rPr>
          <w:sz w:val="28"/>
          <w:szCs w:val="28"/>
        </w:rPr>
        <w:t xml:space="preserve"> окислення ліпідів змінюють структуру клітинних мембран, посилюючи їх проникність, що призводить до надмірного обміну між клітиною і тканиною. </w:t>
      </w:r>
    </w:p>
    <w:p w14:paraId="0302974B" w14:textId="77777777" w:rsidR="002B0634" w:rsidRDefault="00000000">
      <w:pPr>
        <w:ind w:firstLine="472"/>
        <w:jc w:val="both"/>
        <w:rPr>
          <w:sz w:val="28"/>
          <w:szCs w:val="28"/>
        </w:rPr>
      </w:pPr>
      <w:r>
        <w:rPr>
          <w:sz w:val="28"/>
          <w:szCs w:val="28"/>
        </w:rPr>
        <w:t xml:space="preserve">Активно процеси окисного фосфорилювання відбуваються у ендоплазматичному </w:t>
      </w:r>
      <w:proofErr w:type="spellStart"/>
      <w:r>
        <w:rPr>
          <w:sz w:val="28"/>
          <w:szCs w:val="28"/>
        </w:rPr>
        <w:t>ретикулумі</w:t>
      </w:r>
      <w:proofErr w:type="spellEnd"/>
      <w:r>
        <w:rPr>
          <w:sz w:val="28"/>
          <w:szCs w:val="28"/>
        </w:rPr>
        <w:t xml:space="preserve"> лейкоцитів, це так зване «ферментативне» перекисне окислення ліпідів. У лейкоцитах цей процес необхідний для забезпечення фагоцитозу, запускається основним ферментом лейкоцитів – </w:t>
      </w:r>
      <w:proofErr w:type="spellStart"/>
      <w:r>
        <w:rPr>
          <w:sz w:val="28"/>
          <w:szCs w:val="28"/>
        </w:rPr>
        <w:t>мієлопероксидазою</w:t>
      </w:r>
      <w:proofErr w:type="spellEnd"/>
      <w:r>
        <w:rPr>
          <w:sz w:val="28"/>
          <w:szCs w:val="28"/>
        </w:rPr>
        <w:t xml:space="preserve">. При фагоцитозі відбувається лавиноподібне утворення в клітинах активних форм кисню – так званий «дихальний вибух лейкоцитів». При цьому надлишок токсичних </w:t>
      </w:r>
      <w:proofErr w:type="spellStart"/>
      <w:r>
        <w:rPr>
          <w:sz w:val="28"/>
          <w:szCs w:val="28"/>
        </w:rPr>
        <w:t>супероксидних</w:t>
      </w:r>
      <w:proofErr w:type="spellEnd"/>
      <w:r>
        <w:rPr>
          <w:sz w:val="28"/>
          <w:szCs w:val="28"/>
        </w:rPr>
        <w:t xml:space="preserve"> радикалів викликає пошкодження клітинних мембран лейкоцитів і вихід з них БАР (</w:t>
      </w:r>
      <w:proofErr w:type="spellStart"/>
      <w:r>
        <w:rPr>
          <w:sz w:val="28"/>
          <w:szCs w:val="28"/>
        </w:rPr>
        <w:t>лізосомальних</w:t>
      </w:r>
      <w:proofErr w:type="spellEnd"/>
      <w:r>
        <w:rPr>
          <w:sz w:val="28"/>
          <w:szCs w:val="28"/>
        </w:rPr>
        <w:t xml:space="preserve"> ферментів), що посилює альтерацію тканин пародонту.</w:t>
      </w:r>
    </w:p>
    <w:p w14:paraId="1572D398" w14:textId="77777777" w:rsidR="002B0634" w:rsidRDefault="00000000">
      <w:pPr>
        <w:jc w:val="both"/>
        <w:rPr>
          <w:b/>
          <w:i/>
          <w:sz w:val="28"/>
          <w:szCs w:val="28"/>
        </w:rPr>
      </w:pPr>
      <w:r>
        <w:rPr>
          <w:sz w:val="28"/>
          <w:szCs w:val="28"/>
        </w:rPr>
        <w:t xml:space="preserve">4. </w:t>
      </w:r>
      <w:r>
        <w:rPr>
          <w:b/>
          <w:i/>
          <w:sz w:val="28"/>
          <w:szCs w:val="28"/>
        </w:rPr>
        <w:t>Травматична оклюзія</w:t>
      </w:r>
    </w:p>
    <w:p w14:paraId="712C1C4D" w14:textId="77777777" w:rsidR="002B0634" w:rsidRDefault="00000000">
      <w:pPr>
        <w:ind w:firstLine="720"/>
        <w:jc w:val="both"/>
        <w:rPr>
          <w:sz w:val="28"/>
          <w:szCs w:val="28"/>
        </w:rPr>
      </w:pPr>
      <w:r>
        <w:rPr>
          <w:sz w:val="28"/>
          <w:szCs w:val="28"/>
        </w:rPr>
        <w:t>При пережовуванні їжі жувальний тиск передається на тканини пародонту, що сприяє нормальному кровопостачанню та лімфо відтоку, забезпечуючи трофічні процеси та обмін речовин в тканинах пародонту. Для розвитку захворювань пародонту мають значення як функціональне недовантаження, так і перевантаження пародонту.</w:t>
      </w:r>
    </w:p>
    <w:p w14:paraId="44469BA7" w14:textId="77777777" w:rsidR="002B0634" w:rsidRDefault="00000000">
      <w:pPr>
        <w:ind w:firstLine="720"/>
        <w:jc w:val="both"/>
        <w:rPr>
          <w:sz w:val="28"/>
          <w:szCs w:val="28"/>
        </w:rPr>
      </w:pPr>
      <w:r>
        <w:rPr>
          <w:sz w:val="28"/>
          <w:szCs w:val="28"/>
        </w:rPr>
        <w:t xml:space="preserve">Функціональне </w:t>
      </w:r>
      <w:r>
        <w:rPr>
          <w:i/>
          <w:sz w:val="28"/>
          <w:szCs w:val="28"/>
        </w:rPr>
        <w:t>недовантаження</w:t>
      </w:r>
      <w:r>
        <w:rPr>
          <w:sz w:val="28"/>
          <w:szCs w:val="28"/>
        </w:rPr>
        <w:t xml:space="preserve"> призводить до погіршення кровопостачання та </w:t>
      </w:r>
      <w:proofErr w:type="spellStart"/>
      <w:r>
        <w:rPr>
          <w:sz w:val="28"/>
          <w:szCs w:val="28"/>
        </w:rPr>
        <w:t>лімфотоку</w:t>
      </w:r>
      <w:proofErr w:type="spellEnd"/>
      <w:r>
        <w:rPr>
          <w:sz w:val="28"/>
          <w:szCs w:val="28"/>
        </w:rPr>
        <w:t xml:space="preserve"> тканин пародонту – як наслідок атрофічні зміни. Це можливо при відсутності зубів-антагоністів або зміні раціону харчування (відсутність грубої їжі).</w:t>
      </w:r>
    </w:p>
    <w:p w14:paraId="63CE1BE0" w14:textId="77777777" w:rsidR="002B0634" w:rsidRDefault="00000000">
      <w:pPr>
        <w:ind w:firstLine="540"/>
        <w:jc w:val="both"/>
        <w:rPr>
          <w:sz w:val="28"/>
          <w:szCs w:val="28"/>
        </w:rPr>
      </w:pPr>
      <w:r>
        <w:rPr>
          <w:sz w:val="28"/>
          <w:szCs w:val="28"/>
        </w:rPr>
        <w:t xml:space="preserve">Функціональне </w:t>
      </w:r>
      <w:r>
        <w:rPr>
          <w:i/>
          <w:sz w:val="28"/>
          <w:szCs w:val="28"/>
        </w:rPr>
        <w:t>перевантаження</w:t>
      </w:r>
      <w:r>
        <w:rPr>
          <w:sz w:val="28"/>
          <w:szCs w:val="28"/>
        </w:rPr>
        <w:t xml:space="preserve"> – небезпечним є тривале жувальне перевантаження, наприклад при завищенні прикусу ортопедичними конструкціями, пломбами, патологічним прикусом, при дефектах зубних рядів, порушенні функцій жувальних м’язів (</w:t>
      </w:r>
      <w:proofErr w:type="spellStart"/>
      <w:r>
        <w:rPr>
          <w:sz w:val="28"/>
          <w:szCs w:val="28"/>
        </w:rPr>
        <w:t>бруксизм</w:t>
      </w:r>
      <w:proofErr w:type="spellEnd"/>
      <w:r>
        <w:rPr>
          <w:sz w:val="28"/>
          <w:szCs w:val="28"/>
        </w:rPr>
        <w:t xml:space="preserve">). </w:t>
      </w:r>
    </w:p>
    <w:p w14:paraId="751041C7" w14:textId="77777777" w:rsidR="002B0634" w:rsidRDefault="00000000">
      <w:pPr>
        <w:ind w:firstLine="540"/>
        <w:jc w:val="both"/>
        <w:rPr>
          <w:sz w:val="28"/>
          <w:szCs w:val="28"/>
        </w:rPr>
      </w:pPr>
      <w:r>
        <w:rPr>
          <w:sz w:val="28"/>
          <w:szCs w:val="28"/>
        </w:rPr>
        <w:t xml:space="preserve">Стан, при якому на пародонт діє навантаження, що перевищує його резервні компенсаторні можливості та призводить до його пошкодження, називається  </w:t>
      </w:r>
      <w:r>
        <w:rPr>
          <w:i/>
          <w:sz w:val="28"/>
          <w:szCs w:val="28"/>
        </w:rPr>
        <w:t>травматична оклюзія</w:t>
      </w:r>
      <w:r>
        <w:rPr>
          <w:sz w:val="28"/>
          <w:szCs w:val="28"/>
        </w:rPr>
        <w:t>.</w:t>
      </w:r>
    </w:p>
    <w:p w14:paraId="0BB87498" w14:textId="77777777" w:rsidR="002B0634" w:rsidRDefault="00000000">
      <w:pPr>
        <w:ind w:firstLine="540"/>
        <w:jc w:val="both"/>
        <w:rPr>
          <w:sz w:val="28"/>
          <w:szCs w:val="28"/>
        </w:rPr>
      </w:pPr>
      <w:r>
        <w:rPr>
          <w:sz w:val="28"/>
          <w:szCs w:val="28"/>
        </w:rPr>
        <w:t xml:space="preserve">Якщо надлишковий </w:t>
      </w:r>
      <w:proofErr w:type="spellStart"/>
      <w:r>
        <w:rPr>
          <w:sz w:val="28"/>
          <w:szCs w:val="28"/>
        </w:rPr>
        <w:t>пошкоджуючий</w:t>
      </w:r>
      <w:proofErr w:type="spellEnd"/>
      <w:r>
        <w:rPr>
          <w:sz w:val="28"/>
          <w:szCs w:val="28"/>
        </w:rPr>
        <w:t xml:space="preserve"> жувальний тиск діє на зуби зі здоровим пародонтом – таку </w:t>
      </w:r>
      <w:r>
        <w:rPr>
          <w:i/>
          <w:sz w:val="28"/>
          <w:szCs w:val="28"/>
        </w:rPr>
        <w:t>травматичну оклюзію називають первинною</w:t>
      </w:r>
      <w:r>
        <w:rPr>
          <w:sz w:val="28"/>
          <w:szCs w:val="28"/>
        </w:rPr>
        <w:t xml:space="preserve">. Вона виникає при </w:t>
      </w:r>
      <w:r>
        <w:rPr>
          <w:sz w:val="28"/>
          <w:szCs w:val="28"/>
        </w:rPr>
        <w:lastRenderedPageBreak/>
        <w:t>завищенні прикусу пломбою, ортопедичною конструкцією, при аномаліях прикусу, патологічному стиранні, підвищеному тонусі жувальних м’язів. Первинна травматична оклюзія є зворотнім процесом.</w:t>
      </w:r>
    </w:p>
    <w:p w14:paraId="3E5DA417" w14:textId="77777777" w:rsidR="002B0634" w:rsidRDefault="00000000">
      <w:pPr>
        <w:ind w:firstLine="540"/>
        <w:jc w:val="both"/>
        <w:rPr>
          <w:sz w:val="28"/>
          <w:szCs w:val="28"/>
        </w:rPr>
      </w:pPr>
      <w:r>
        <w:rPr>
          <w:i/>
          <w:sz w:val="28"/>
          <w:szCs w:val="28"/>
        </w:rPr>
        <w:t xml:space="preserve">Вторинна травматична оклюзія </w:t>
      </w:r>
      <w:r>
        <w:rPr>
          <w:sz w:val="28"/>
          <w:szCs w:val="28"/>
        </w:rPr>
        <w:t>розвивається на фоні патологічного процесу в тканинах пародонту, коли навіть звичайний жувальний тиск перевищує резервні сили пародонту. При таких станах змінюється біомеханіка пародонту, оскільки змінюється співвідношення між висотою клінічної коронки та довжиною кореня. При горизонтальному навантаженні виросла клінічна коронка, як важіль, тисне на кісткові стінки альвеоли, викликаючи значне перевантаження і прискорюючи резорбцію кісткових стінок альвеоли. Виникає замкнуте коло патологічних змін: травматична оклюзія виникає на фоні змін у пародонті і вона ж сприяє подальшому прогресуванню резорбції альвеолярної кістки.</w:t>
      </w:r>
    </w:p>
    <w:p w14:paraId="296CDB07" w14:textId="77777777" w:rsidR="002B0634" w:rsidRDefault="00000000">
      <w:pPr>
        <w:jc w:val="both"/>
        <w:rPr>
          <w:b/>
          <w:i/>
          <w:sz w:val="28"/>
          <w:szCs w:val="28"/>
        </w:rPr>
      </w:pPr>
      <w:r>
        <w:rPr>
          <w:sz w:val="28"/>
          <w:szCs w:val="28"/>
        </w:rPr>
        <w:t xml:space="preserve">5. </w:t>
      </w:r>
      <w:proofErr w:type="spellStart"/>
      <w:r>
        <w:rPr>
          <w:b/>
          <w:i/>
          <w:sz w:val="28"/>
          <w:szCs w:val="28"/>
        </w:rPr>
        <w:t>Несанована</w:t>
      </w:r>
      <w:proofErr w:type="spellEnd"/>
      <w:r>
        <w:rPr>
          <w:b/>
          <w:i/>
          <w:sz w:val="28"/>
          <w:szCs w:val="28"/>
        </w:rPr>
        <w:t xml:space="preserve"> ротова порожнина.</w:t>
      </w:r>
    </w:p>
    <w:p w14:paraId="501B58C2" w14:textId="77777777" w:rsidR="002B0634" w:rsidRDefault="00000000">
      <w:pPr>
        <w:ind w:firstLine="540"/>
        <w:jc w:val="both"/>
        <w:rPr>
          <w:sz w:val="28"/>
          <w:szCs w:val="28"/>
        </w:rPr>
      </w:pPr>
      <w:r>
        <w:rPr>
          <w:sz w:val="28"/>
          <w:szCs w:val="28"/>
        </w:rPr>
        <w:t xml:space="preserve">При цьому на пародонт діє цілий ряд </w:t>
      </w:r>
      <w:proofErr w:type="spellStart"/>
      <w:r>
        <w:rPr>
          <w:sz w:val="28"/>
          <w:szCs w:val="28"/>
        </w:rPr>
        <w:t>пошкоджуючих</w:t>
      </w:r>
      <w:proofErr w:type="spellEnd"/>
      <w:r>
        <w:rPr>
          <w:sz w:val="28"/>
          <w:szCs w:val="28"/>
        </w:rPr>
        <w:t xml:space="preserve"> факторів. В каріозних порожнинах накопичуються мікроорганізми, погіршується гігієнічний догляд за ротовою порожниною. При жуванні пацієнт рефлекторно не використовує такі ділянки для пережовування їжі, викликаючи перевантаження інших ділянок зубного ряду.  При цьому порушуються процеси самоочищення ротової порожнини, і у ділянках, які не приймають участь у жуванні, накопичуються зубні відкладення.</w:t>
      </w:r>
    </w:p>
    <w:p w14:paraId="4428F3AD" w14:textId="77777777" w:rsidR="002B0634" w:rsidRDefault="00000000">
      <w:pPr>
        <w:ind w:firstLine="540"/>
        <w:jc w:val="both"/>
        <w:rPr>
          <w:sz w:val="28"/>
          <w:szCs w:val="28"/>
        </w:rPr>
      </w:pPr>
      <w:r>
        <w:rPr>
          <w:sz w:val="28"/>
          <w:szCs w:val="28"/>
        </w:rPr>
        <w:t xml:space="preserve">Особливо несприятливу дію мають каріозні порожнини у </w:t>
      </w:r>
      <w:proofErr w:type="spellStart"/>
      <w:r>
        <w:rPr>
          <w:sz w:val="28"/>
          <w:szCs w:val="28"/>
        </w:rPr>
        <w:t>пришийковій</w:t>
      </w:r>
      <w:proofErr w:type="spellEnd"/>
      <w:r>
        <w:rPr>
          <w:sz w:val="28"/>
          <w:szCs w:val="28"/>
        </w:rPr>
        <w:t xml:space="preserve"> ділянці та на контактних поверхнях бокових зубів. Контактний пункт зубів має значну роль, оскільки, з однієї сторони захищає міжзубний сосочок від травмування харчовим </w:t>
      </w:r>
      <w:proofErr w:type="spellStart"/>
      <w:r>
        <w:rPr>
          <w:sz w:val="28"/>
          <w:szCs w:val="28"/>
        </w:rPr>
        <w:t>комком</w:t>
      </w:r>
      <w:proofErr w:type="spellEnd"/>
      <w:r>
        <w:rPr>
          <w:sz w:val="28"/>
          <w:szCs w:val="28"/>
        </w:rPr>
        <w:t>, а з іншого – забезпечує розподіл жувального тиску по всьому зубному ряду.</w:t>
      </w:r>
    </w:p>
    <w:p w14:paraId="72190E95" w14:textId="77777777" w:rsidR="002B0634" w:rsidRDefault="00000000">
      <w:pPr>
        <w:ind w:firstLine="540"/>
        <w:jc w:val="both"/>
        <w:rPr>
          <w:sz w:val="28"/>
          <w:szCs w:val="28"/>
        </w:rPr>
      </w:pPr>
      <w:r>
        <w:rPr>
          <w:sz w:val="28"/>
          <w:szCs w:val="28"/>
        </w:rPr>
        <w:t xml:space="preserve">Несприятлива дія навислих країв пломб, ортопедичних та </w:t>
      </w:r>
      <w:proofErr w:type="spellStart"/>
      <w:r>
        <w:rPr>
          <w:sz w:val="28"/>
          <w:szCs w:val="28"/>
        </w:rPr>
        <w:t>ортодонтичних</w:t>
      </w:r>
      <w:proofErr w:type="spellEnd"/>
      <w:r>
        <w:rPr>
          <w:sz w:val="28"/>
          <w:szCs w:val="28"/>
        </w:rPr>
        <w:t xml:space="preserve"> конструкцій, а також конструкції, що завищують прикус.</w:t>
      </w:r>
    </w:p>
    <w:p w14:paraId="4651690F" w14:textId="77777777" w:rsidR="002B0634" w:rsidRDefault="00000000">
      <w:pPr>
        <w:jc w:val="both"/>
        <w:rPr>
          <w:sz w:val="28"/>
          <w:szCs w:val="28"/>
        </w:rPr>
      </w:pPr>
      <w:r>
        <w:rPr>
          <w:sz w:val="28"/>
          <w:szCs w:val="28"/>
        </w:rPr>
        <w:t xml:space="preserve">6. </w:t>
      </w:r>
      <w:r>
        <w:rPr>
          <w:b/>
          <w:i/>
          <w:sz w:val="28"/>
          <w:szCs w:val="28"/>
        </w:rPr>
        <w:t>Аномалії анатомічної будови органів ротової порожнини.</w:t>
      </w:r>
    </w:p>
    <w:p w14:paraId="3C3832E6" w14:textId="77777777" w:rsidR="002B0634" w:rsidRDefault="00000000">
      <w:pPr>
        <w:ind w:firstLine="540"/>
        <w:jc w:val="both"/>
        <w:rPr>
          <w:sz w:val="28"/>
          <w:szCs w:val="28"/>
        </w:rPr>
      </w:pPr>
      <w:proofErr w:type="spellStart"/>
      <w:r>
        <w:rPr>
          <w:sz w:val="28"/>
          <w:szCs w:val="28"/>
        </w:rPr>
        <w:t>Скученість</w:t>
      </w:r>
      <w:proofErr w:type="spellEnd"/>
      <w:r>
        <w:rPr>
          <w:sz w:val="28"/>
          <w:szCs w:val="28"/>
        </w:rPr>
        <w:t xml:space="preserve"> зубів, неправильне розташування зубів у зубній </w:t>
      </w:r>
      <w:proofErr w:type="spellStart"/>
      <w:r>
        <w:rPr>
          <w:sz w:val="28"/>
          <w:szCs w:val="28"/>
        </w:rPr>
        <w:t>дузі</w:t>
      </w:r>
      <w:proofErr w:type="spellEnd"/>
      <w:r>
        <w:rPr>
          <w:sz w:val="28"/>
          <w:szCs w:val="28"/>
        </w:rPr>
        <w:t xml:space="preserve"> – погіршення самоочищення ротової порожнини, утворення зубних </w:t>
      </w:r>
      <w:proofErr w:type="spellStart"/>
      <w:r>
        <w:rPr>
          <w:sz w:val="28"/>
          <w:szCs w:val="28"/>
        </w:rPr>
        <w:t>відкладень</w:t>
      </w:r>
      <w:proofErr w:type="spellEnd"/>
      <w:r>
        <w:rPr>
          <w:sz w:val="28"/>
          <w:szCs w:val="28"/>
        </w:rPr>
        <w:t>.</w:t>
      </w:r>
    </w:p>
    <w:p w14:paraId="53058236" w14:textId="77777777" w:rsidR="002B0634" w:rsidRDefault="00000000">
      <w:pPr>
        <w:ind w:firstLine="540"/>
        <w:jc w:val="both"/>
        <w:rPr>
          <w:sz w:val="28"/>
          <w:szCs w:val="28"/>
        </w:rPr>
      </w:pPr>
      <w:r>
        <w:rPr>
          <w:sz w:val="28"/>
          <w:szCs w:val="28"/>
        </w:rPr>
        <w:t>Аномалії прикріплення вуздечок, мілкий присінок рота – надмірний натяг та травмування ясен у місці прикріплення їх до шийок зубів.</w:t>
      </w:r>
    </w:p>
    <w:p w14:paraId="15613799" w14:textId="77777777" w:rsidR="002B0634" w:rsidRDefault="00000000">
      <w:pPr>
        <w:ind w:firstLine="720"/>
        <w:jc w:val="both"/>
        <w:rPr>
          <w:b/>
          <w:sz w:val="28"/>
          <w:szCs w:val="28"/>
        </w:rPr>
      </w:pPr>
      <w:r>
        <w:rPr>
          <w:b/>
          <w:sz w:val="28"/>
          <w:szCs w:val="28"/>
        </w:rPr>
        <w:t>ЗАГАЛЬНІ ЧИННИКИ</w:t>
      </w:r>
    </w:p>
    <w:p w14:paraId="4D9EA439" w14:textId="77777777" w:rsidR="002B0634" w:rsidRDefault="00000000">
      <w:pPr>
        <w:jc w:val="both"/>
        <w:rPr>
          <w:sz w:val="28"/>
          <w:szCs w:val="28"/>
        </w:rPr>
      </w:pPr>
      <w:r>
        <w:rPr>
          <w:sz w:val="28"/>
          <w:szCs w:val="28"/>
        </w:rPr>
        <w:t xml:space="preserve">1. </w:t>
      </w:r>
      <w:r>
        <w:rPr>
          <w:b/>
          <w:i/>
          <w:sz w:val="28"/>
          <w:szCs w:val="28"/>
        </w:rPr>
        <w:t>Дефіцит вітамінів, зокрема С, А, Е, В</w:t>
      </w:r>
      <w:r>
        <w:rPr>
          <w:b/>
          <w:i/>
          <w:sz w:val="28"/>
          <w:szCs w:val="28"/>
          <w:vertAlign w:val="subscript"/>
        </w:rPr>
        <w:t>1</w:t>
      </w:r>
      <w:r>
        <w:rPr>
          <w:b/>
          <w:i/>
          <w:sz w:val="28"/>
          <w:szCs w:val="28"/>
        </w:rPr>
        <w:t xml:space="preserve">. </w:t>
      </w:r>
    </w:p>
    <w:p w14:paraId="5A0F0F06" w14:textId="77777777" w:rsidR="002B0634" w:rsidRDefault="00000000">
      <w:pPr>
        <w:ind w:firstLine="540"/>
        <w:jc w:val="both"/>
        <w:rPr>
          <w:sz w:val="28"/>
          <w:szCs w:val="28"/>
        </w:rPr>
      </w:pPr>
      <w:r>
        <w:rPr>
          <w:sz w:val="28"/>
          <w:szCs w:val="28"/>
        </w:rPr>
        <w:t xml:space="preserve">При </w:t>
      </w:r>
      <w:proofErr w:type="spellStart"/>
      <w:r>
        <w:rPr>
          <w:sz w:val="28"/>
          <w:szCs w:val="28"/>
        </w:rPr>
        <w:t>генералізованому</w:t>
      </w:r>
      <w:proofErr w:type="spellEnd"/>
      <w:r>
        <w:rPr>
          <w:sz w:val="28"/>
          <w:szCs w:val="28"/>
        </w:rPr>
        <w:t xml:space="preserve"> </w:t>
      </w:r>
      <w:proofErr w:type="spellStart"/>
      <w:r>
        <w:rPr>
          <w:sz w:val="28"/>
          <w:szCs w:val="28"/>
        </w:rPr>
        <w:t>пародонтиті</w:t>
      </w:r>
      <w:proofErr w:type="spellEnd"/>
      <w:r>
        <w:rPr>
          <w:sz w:val="28"/>
          <w:szCs w:val="28"/>
        </w:rPr>
        <w:t xml:space="preserve"> спостерігається місцевий гіповітаміноз С – на фоні оптимальної насиченості організму аскорбіновою кислотою відзначається її нестача у тканинах пародонту (М.Ф. Данилевський).</w:t>
      </w:r>
    </w:p>
    <w:p w14:paraId="0EC03DBD" w14:textId="77777777" w:rsidR="002B0634" w:rsidRDefault="00000000">
      <w:pPr>
        <w:ind w:firstLine="540"/>
        <w:jc w:val="both"/>
        <w:rPr>
          <w:sz w:val="28"/>
          <w:szCs w:val="28"/>
        </w:rPr>
      </w:pPr>
      <w:r>
        <w:rPr>
          <w:sz w:val="28"/>
          <w:szCs w:val="28"/>
        </w:rPr>
        <w:t xml:space="preserve">Іноземні та вітчизняні вчені (М.Ф. Данилевський, Г.М. Вишняк) виявили зниження вмісту вітаміну Е у сироватці крові хворих на </w:t>
      </w:r>
      <w:proofErr w:type="spellStart"/>
      <w:r>
        <w:rPr>
          <w:sz w:val="28"/>
          <w:szCs w:val="28"/>
        </w:rPr>
        <w:t>пародонтит</w:t>
      </w:r>
      <w:proofErr w:type="spellEnd"/>
      <w:r>
        <w:rPr>
          <w:sz w:val="28"/>
          <w:szCs w:val="28"/>
        </w:rPr>
        <w:t>.</w:t>
      </w:r>
    </w:p>
    <w:p w14:paraId="000D2600" w14:textId="77777777" w:rsidR="002B0634" w:rsidRDefault="00000000">
      <w:pPr>
        <w:ind w:firstLine="540"/>
        <w:jc w:val="both"/>
        <w:rPr>
          <w:sz w:val="28"/>
          <w:szCs w:val="28"/>
        </w:rPr>
      </w:pPr>
      <w:r>
        <w:rPr>
          <w:sz w:val="28"/>
          <w:szCs w:val="28"/>
        </w:rPr>
        <w:t xml:space="preserve">У хворих на запальні та </w:t>
      </w:r>
      <w:proofErr w:type="spellStart"/>
      <w:r>
        <w:rPr>
          <w:sz w:val="28"/>
          <w:szCs w:val="28"/>
        </w:rPr>
        <w:t>запально</w:t>
      </w:r>
      <w:proofErr w:type="spellEnd"/>
      <w:r>
        <w:rPr>
          <w:sz w:val="28"/>
          <w:szCs w:val="28"/>
        </w:rPr>
        <w:t xml:space="preserve">-дистрофічні захворювання пародонту спостерігається зниження вмісту вітаміну А у крові (А. </w:t>
      </w:r>
      <w:proofErr w:type="spellStart"/>
      <w:r>
        <w:rPr>
          <w:sz w:val="28"/>
          <w:szCs w:val="28"/>
        </w:rPr>
        <w:t>Russel</w:t>
      </w:r>
      <w:proofErr w:type="spellEnd"/>
      <w:r>
        <w:rPr>
          <w:sz w:val="28"/>
          <w:szCs w:val="28"/>
        </w:rPr>
        <w:t xml:space="preserve">, А. </w:t>
      </w:r>
      <w:proofErr w:type="spellStart"/>
      <w:r>
        <w:rPr>
          <w:sz w:val="28"/>
          <w:szCs w:val="28"/>
        </w:rPr>
        <w:t>Schneider</w:t>
      </w:r>
      <w:proofErr w:type="spellEnd"/>
      <w:r>
        <w:rPr>
          <w:sz w:val="28"/>
          <w:szCs w:val="28"/>
        </w:rPr>
        <w:t>).</w:t>
      </w:r>
    </w:p>
    <w:p w14:paraId="1377732B" w14:textId="77777777" w:rsidR="002B0634" w:rsidRDefault="00000000">
      <w:pPr>
        <w:ind w:firstLine="540"/>
        <w:jc w:val="both"/>
        <w:rPr>
          <w:sz w:val="28"/>
          <w:szCs w:val="28"/>
        </w:rPr>
      </w:pPr>
      <w:r>
        <w:rPr>
          <w:sz w:val="28"/>
          <w:szCs w:val="28"/>
        </w:rPr>
        <w:t xml:space="preserve">При недостатності вітамінів групи В у експериментальних тварин спостерігається розвиток гінгівіту та </w:t>
      </w:r>
      <w:proofErr w:type="spellStart"/>
      <w:r>
        <w:rPr>
          <w:sz w:val="28"/>
          <w:szCs w:val="28"/>
        </w:rPr>
        <w:t>пародонтиту</w:t>
      </w:r>
      <w:proofErr w:type="spellEnd"/>
      <w:r>
        <w:rPr>
          <w:sz w:val="28"/>
          <w:szCs w:val="28"/>
        </w:rPr>
        <w:t xml:space="preserve">, а включення цих вітамінів у комплексне лікування </w:t>
      </w:r>
      <w:proofErr w:type="spellStart"/>
      <w:r>
        <w:rPr>
          <w:sz w:val="28"/>
          <w:szCs w:val="28"/>
        </w:rPr>
        <w:t>хвороб</w:t>
      </w:r>
      <w:proofErr w:type="spellEnd"/>
      <w:r>
        <w:rPr>
          <w:sz w:val="28"/>
          <w:szCs w:val="28"/>
        </w:rPr>
        <w:t xml:space="preserve"> пародонту дає гарні результати (Р.В. </w:t>
      </w:r>
      <w:proofErr w:type="spellStart"/>
      <w:r>
        <w:rPr>
          <w:sz w:val="28"/>
          <w:szCs w:val="28"/>
        </w:rPr>
        <w:t>Окушко</w:t>
      </w:r>
      <w:proofErr w:type="spellEnd"/>
      <w:r>
        <w:rPr>
          <w:sz w:val="28"/>
          <w:szCs w:val="28"/>
        </w:rPr>
        <w:t>, Г.М. Вишняк, В.Ф. Кохановський).</w:t>
      </w:r>
    </w:p>
    <w:p w14:paraId="6889EFB1" w14:textId="77777777" w:rsidR="002B0634" w:rsidRDefault="00000000">
      <w:pPr>
        <w:jc w:val="both"/>
        <w:rPr>
          <w:b/>
          <w:i/>
          <w:sz w:val="28"/>
          <w:szCs w:val="28"/>
        </w:rPr>
      </w:pPr>
      <w:r>
        <w:rPr>
          <w:sz w:val="28"/>
          <w:szCs w:val="28"/>
        </w:rPr>
        <w:t xml:space="preserve">2. </w:t>
      </w:r>
      <w:r>
        <w:rPr>
          <w:b/>
          <w:i/>
          <w:sz w:val="28"/>
          <w:szCs w:val="28"/>
        </w:rPr>
        <w:t>Судинні зміни.</w:t>
      </w:r>
    </w:p>
    <w:p w14:paraId="0EBD5435" w14:textId="77777777" w:rsidR="002B0634" w:rsidRDefault="00000000">
      <w:pPr>
        <w:ind w:firstLine="540"/>
        <w:jc w:val="both"/>
        <w:rPr>
          <w:sz w:val="28"/>
          <w:szCs w:val="28"/>
        </w:rPr>
      </w:pPr>
      <w:r>
        <w:rPr>
          <w:sz w:val="28"/>
          <w:szCs w:val="28"/>
        </w:rPr>
        <w:lastRenderedPageBreak/>
        <w:t xml:space="preserve">Теорія А.І. </w:t>
      </w:r>
      <w:proofErr w:type="spellStart"/>
      <w:r>
        <w:rPr>
          <w:sz w:val="28"/>
          <w:szCs w:val="28"/>
        </w:rPr>
        <w:t>Евдокимова</w:t>
      </w:r>
      <w:proofErr w:type="spellEnd"/>
      <w:r>
        <w:rPr>
          <w:sz w:val="28"/>
          <w:szCs w:val="28"/>
        </w:rPr>
        <w:t xml:space="preserve"> (1966) – судинна теорія патогенезу </w:t>
      </w:r>
      <w:proofErr w:type="spellStart"/>
      <w:r>
        <w:rPr>
          <w:sz w:val="28"/>
          <w:szCs w:val="28"/>
        </w:rPr>
        <w:t>генералізованого</w:t>
      </w:r>
      <w:proofErr w:type="spellEnd"/>
      <w:r>
        <w:rPr>
          <w:sz w:val="28"/>
          <w:szCs w:val="28"/>
        </w:rPr>
        <w:t xml:space="preserve"> </w:t>
      </w:r>
      <w:proofErr w:type="spellStart"/>
      <w:r>
        <w:rPr>
          <w:sz w:val="28"/>
          <w:szCs w:val="28"/>
        </w:rPr>
        <w:t>пародонтиту</w:t>
      </w:r>
      <w:proofErr w:type="spellEnd"/>
      <w:r>
        <w:rPr>
          <w:sz w:val="28"/>
          <w:szCs w:val="28"/>
        </w:rPr>
        <w:t xml:space="preserve">. При </w:t>
      </w:r>
      <w:proofErr w:type="spellStart"/>
      <w:r>
        <w:rPr>
          <w:sz w:val="28"/>
          <w:szCs w:val="28"/>
        </w:rPr>
        <w:t>патогістологічних</w:t>
      </w:r>
      <w:proofErr w:type="spellEnd"/>
      <w:r>
        <w:rPr>
          <w:sz w:val="28"/>
          <w:szCs w:val="28"/>
        </w:rPr>
        <w:t xml:space="preserve"> дослідженнях, проведених цим </w:t>
      </w:r>
      <w:proofErr w:type="spellStart"/>
      <w:r>
        <w:rPr>
          <w:sz w:val="28"/>
          <w:szCs w:val="28"/>
        </w:rPr>
        <w:t>авторм</w:t>
      </w:r>
      <w:proofErr w:type="spellEnd"/>
      <w:r>
        <w:rPr>
          <w:sz w:val="28"/>
          <w:szCs w:val="28"/>
        </w:rPr>
        <w:t xml:space="preserve">, виявлені склеротичні зміни в судинах пародонту. Також, порушення судин пародонту встановлені клініко-функціональними методами дослідження. При капіляроскопії виявлені тонкі та звужені капіляри при пародонтозі та розширені застійні – при </w:t>
      </w:r>
      <w:proofErr w:type="spellStart"/>
      <w:r>
        <w:rPr>
          <w:sz w:val="28"/>
          <w:szCs w:val="28"/>
        </w:rPr>
        <w:t>пародонтиті</w:t>
      </w:r>
      <w:proofErr w:type="spellEnd"/>
      <w:r>
        <w:rPr>
          <w:sz w:val="28"/>
          <w:szCs w:val="28"/>
        </w:rPr>
        <w:t xml:space="preserve">. Про зміну тонусу судинної стінки свідчать дані </w:t>
      </w:r>
      <w:proofErr w:type="spellStart"/>
      <w:r>
        <w:rPr>
          <w:sz w:val="28"/>
          <w:szCs w:val="28"/>
        </w:rPr>
        <w:t>реопародонтологічних</w:t>
      </w:r>
      <w:proofErr w:type="spellEnd"/>
      <w:r>
        <w:rPr>
          <w:sz w:val="28"/>
          <w:szCs w:val="28"/>
        </w:rPr>
        <w:t xml:space="preserve"> досліджень.</w:t>
      </w:r>
    </w:p>
    <w:p w14:paraId="10541CAB" w14:textId="77777777" w:rsidR="002B0634" w:rsidRDefault="00000000">
      <w:pPr>
        <w:jc w:val="both"/>
        <w:rPr>
          <w:b/>
          <w:i/>
          <w:sz w:val="28"/>
          <w:szCs w:val="28"/>
        </w:rPr>
      </w:pPr>
      <w:r>
        <w:rPr>
          <w:sz w:val="28"/>
          <w:szCs w:val="28"/>
        </w:rPr>
        <w:t xml:space="preserve">3. </w:t>
      </w:r>
      <w:r>
        <w:rPr>
          <w:b/>
          <w:i/>
          <w:sz w:val="28"/>
          <w:szCs w:val="28"/>
        </w:rPr>
        <w:t>Нервово-трофічні порушення. Роль психосоматичних факторів.</w:t>
      </w:r>
    </w:p>
    <w:p w14:paraId="05DC946E" w14:textId="77777777" w:rsidR="002B0634" w:rsidRDefault="00000000">
      <w:pPr>
        <w:ind w:firstLine="540"/>
        <w:jc w:val="both"/>
        <w:rPr>
          <w:sz w:val="28"/>
          <w:szCs w:val="28"/>
        </w:rPr>
      </w:pPr>
      <w:r>
        <w:rPr>
          <w:sz w:val="28"/>
          <w:szCs w:val="28"/>
        </w:rPr>
        <w:t xml:space="preserve">Д.А. Ентін вперше у експерименті підтвердив роль центральної та периферичної нервової системи у виникненні </w:t>
      </w:r>
      <w:proofErr w:type="spellStart"/>
      <w:r>
        <w:rPr>
          <w:sz w:val="28"/>
          <w:szCs w:val="28"/>
        </w:rPr>
        <w:t>пародонтиту</w:t>
      </w:r>
      <w:proofErr w:type="spellEnd"/>
      <w:r>
        <w:rPr>
          <w:sz w:val="28"/>
          <w:szCs w:val="28"/>
        </w:rPr>
        <w:t xml:space="preserve">. Зараз багато дослідників розглядають </w:t>
      </w:r>
      <w:proofErr w:type="spellStart"/>
      <w:r>
        <w:rPr>
          <w:sz w:val="28"/>
          <w:szCs w:val="28"/>
        </w:rPr>
        <w:t>пародонтит</w:t>
      </w:r>
      <w:proofErr w:type="spellEnd"/>
      <w:r>
        <w:rPr>
          <w:sz w:val="28"/>
          <w:szCs w:val="28"/>
        </w:rPr>
        <w:t xml:space="preserve"> – як </w:t>
      </w:r>
      <w:proofErr w:type="spellStart"/>
      <w:r>
        <w:rPr>
          <w:sz w:val="28"/>
          <w:szCs w:val="28"/>
        </w:rPr>
        <w:t>нейро</w:t>
      </w:r>
      <w:proofErr w:type="spellEnd"/>
      <w:r>
        <w:rPr>
          <w:sz w:val="28"/>
          <w:szCs w:val="28"/>
        </w:rPr>
        <w:t xml:space="preserve">-дистрофічний процес. У великої кількості хворих на </w:t>
      </w:r>
      <w:proofErr w:type="spellStart"/>
      <w:r>
        <w:rPr>
          <w:sz w:val="28"/>
          <w:szCs w:val="28"/>
        </w:rPr>
        <w:t>генералізований</w:t>
      </w:r>
      <w:proofErr w:type="spellEnd"/>
      <w:r>
        <w:rPr>
          <w:sz w:val="28"/>
          <w:szCs w:val="28"/>
        </w:rPr>
        <w:t xml:space="preserve"> </w:t>
      </w:r>
      <w:proofErr w:type="spellStart"/>
      <w:r>
        <w:rPr>
          <w:sz w:val="28"/>
          <w:szCs w:val="28"/>
        </w:rPr>
        <w:t>пародонтит</w:t>
      </w:r>
      <w:proofErr w:type="spellEnd"/>
      <w:r>
        <w:rPr>
          <w:sz w:val="28"/>
          <w:szCs w:val="28"/>
        </w:rPr>
        <w:t xml:space="preserve"> виявлені функціональні та органічні порушення нервової системи (неврастенія, вегетативна дистонія), що супроводжуються підвищенням збудливості нервової системи.</w:t>
      </w:r>
    </w:p>
    <w:p w14:paraId="7A36FE4C" w14:textId="77777777" w:rsidR="002B0634" w:rsidRDefault="00000000">
      <w:pPr>
        <w:jc w:val="both"/>
        <w:rPr>
          <w:b/>
          <w:i/>
          <w:sz w:val="28"/>
          <w:szCs w:val="28"/>
        </w:rPr>
      </w:pPr>
      <w:r>
        <w:rPr>
          <w:sz w:val="28"/>
          <w:szCs w:val="28"/>
        </w:rPr>
        <w:t xml:space="preserve">4. </w:t>
      </w:r>
      <w:r>
        <w:rPr>
          <w:b/>
          <w:i/>
          <w:sz w:val="28"/>
          <w:szCs w:val="28"/>
        </w:rPr>
        <w:t>Ендокринні порушення.</w:t>
      </w:r>
    </w:p>
    <w:p w14:paraId="2AC6AE9C" w14:textId="77777777" w:rsidR="002B0634" w:rsidRDefault="00000000">
      <w:pPr>
        <w:ind w:firstLine="540"/>
        <w:jc w:val="both"/>
        <w:rPr>
          <w:sz w:val="28"/>
          <w:szCs w:val="28"/>
        </w:rPr>
      </w:pPr>
      <w:r>
        <w:rPr>
          <w:sz w:val="28"/>
          <w:szCs w:val="28"/>
        </w:rPr>
        <w:t xml:space="preserve">Існує стійкий зв’язок між станом тканин пародонту та ендокринних залоз, в першу чергу підшлункової, щитовидної, </w:t>
      </w:r>
      <w:proofErr w:type="spellStart"/>
      <w:r>
        <w:rPr>
          <w:sz w:val="28"/>
          <w:szCs w:val="28"/>
        </w:rPr>
        <w:t>паращитовидних</w:t>
      </w:r>
      <w:proofErr w:type="spellEnd"/>
      <w:r>
        <w:rPr>
          <w:sz w:val="28"/>
          <w:szCs w:val="28"/>
        </w:rPr>
        <w:t>, статевих залоз, гіпоталамуса.</w:t>
      </w:r>
    </w:p>
    <w:p w14:paraId="23255A09" w14:textId="77777777" w:rsidR="002B0634" w:rsidRDefault="00000000">
      <w:pPr>
        <w:ind w:firstLine="540"/>
        <w:jc w:val="both"/>
        <w:rPr>
          <w:sz w:val="28"/>
          <w:szCs w:val="28"/>
        </w:rPr>
      </w:pPr>
      <w:proofErr w:type="spellStart"/>
      <w:r>
        <w:rPr>
          <w:sz w:val="28"/>
          <w:szCs w:val="28"/>
        </w:rPr>
        <w:t>Генералізованому</w:t>
      </w:r>
      <w:proofErr w:type="spellEnd"/>
      <w:r>
        <w:rPr>
          <w:sz w:val="28"/>
          <w:szCs w:val="28"/>
        </w:rPr>
        <w:t xml:space="preserve"> </w:t>
      </w:r>
      <w:proofErr w:type="spellStart"/>
      <w:r>
        <w:rPr>
          <w:sz w:val="28"/>
          <w:szCs w:val="28"/>
        </w:rPr>
        <w:t>пародонтиту</w:t>
      </w:r>
      <w:proofErr w:type="spellEnd"/>
      <w:r>
        <w:rPr>
          <w:sz w:val="28"/>
          <w:szCs w:val="28"/>
        </w:rPr>
        <w:t xml:space="preserve"> на тлі цукрового діабету притаманний агресивний перебіг, схильність до </w:t>
      </w:r>
      <w:proofErr w:type="spellStart"/>
      <w:r>
        <w:rPr>
          <w:sz w:val="28"/>
          <w:szCs w:val="28"/>
        </w:rPr>
        <w:t>абсцедування</w:t>
      </w:r>
      <w:proofErr w:type="spellEnd"/>
      <w:r>
        <w:rPr>
          <w:sz w:val="28"/>
          <w:szCs w:val="28"/>
        </w:rPr>
        <w:t xml:space="preserve">, більш виражені судинні зміни. Це пов’язано з розвитком властивих для цукрового діабету </w:t>
      </w:r>
      <w:proofErr w:type="spellStart"/>
      <w:r>
        <w:rPr>
          <w:sz w:val="28"/>
          <w:szCs w:val="28"/>
        </w:rPr>
        <w:t>мікроангіопатій</w:t>
      </w:r>
      <w:proofErr w:type="spellEnd"/>
      <w:r>
        <w:rPr>
          <w:sz w:val="28"/>
          <w:szCs w:val="28"/>
        </w:rPr>
        <w:t>, а істотні порушення обмінних процесів призводять до значного зниження реактивності організму.</w:t>
      </w:r>
    </w:p>
    <w:p w14:paraId="6AFBCA0F" w14:textId="77777777" w:rsidR="002B0634" w:rsidRDefault="00000000">
      <w:pPr>
        <w:ind w:firstLine="540"/>
        <w:jc w:val="both"/>
        <w:rPr>
          <w:sz w:val="28"/>
          <w:szCs w:val="28"/>
        </w:rPr>
      </w:pPr>
      <w:r>
        <w:rPr>
          <w:sz w:val="28"/>
          <w:szCs w:val="28"/>
        </w:rPr>
        <w:t xml:space="preserve">Щитовидна та пара щитовидні залози регулюють мінеральний обмін в організмі, очевидно, при порушенні їх функції активуються </w:t>
      </w:r>
      <w:proofErr w:type="spellStart"/>
      <w:r>
        <w:rPr>
          <w:sz w:val="28"/>
          <w:szCs w:val="28"/>
        </w:rPr>
        <w:t>резорбтивні</w:t>
      </w:r>
      <w:proofErr w:type="spellEnd"/>
      <w:r>
        <w:rPr>
          <w:sz w:val="28"/>
          <w:szCs w:val="28"/>
        </w:rPr>
        <w:t xml:space="preserve"> процеси у кістковій тканині.</w:t>
      </w:r>
    </w:p>
    <w:p w14:paraId="58838387" w14:textId="77777777" w:rsidR="002B0634" w:rsidRDefault="00000000">
      <w:pPr>
        <w:jc w:val="both"/>
        <w:rPr>
          <w:b/>
          <w:i/>
          <w:sz w:val="28"/>
          <w:szCs w:val="28"/>
        </w:rPr>
      </w:pPr>
      <w:r>
        <w:rPr>
          <w:sz w:val="28"/>
          <w:szCs w:val="28"/>
        </w:rPr>
        <w:t xml:space="preserve">5. </w:t>
      </w:r>
      <w:r>
        <w:rPr>
          <w:b/>
          <w:i/>
          <w:sz w:val="28"/>
          <w:szCs w:val="28"/>
        </w:rPr>
        <w:t>Порушення обміну речовин та окисно-відновних реакцій в організмі.</w:t>
      </w:r>
    </w:p>
    <w:p w14:paraId="4859C967" w14:textId="77777777" w:rsidR="002B0634" w:rsidRDefault="00000000">
      <w:pPr>
        <w:ind w:firstLine="540"/>
        <w:jc w:val="both"/>
        <w:rPr>
          <w:sz w:val="28"/>
          <w:szCs w:val="28"/>
        </w:rPr>
      </w:pPr>
      <w:r>
        <w:rPr>
          <w:sz w:val="28"/>
          <w:szCs w:val="28"/>
        </w:rPr>
        <w:t>Захворювання пародонту розвиваються на тлі зниженого енергетичного обміну. В першу чергу це пов’язано з фактором харчування – незбалансований мікроелементний склад, недостатня білкова повноцінність та вітамінне забезпечення.</w:t>
      </w:r>
    </w:p>
    <w:p w14:paraId="37905BD2" w14:textId="77777777" w:rsidR="002B0634" w:rsidRDefault="00000000">
      <w:pPr>
        <w:ind w:firstLine="540"/>
        <w:jc w:val="both"/>
        <w:rPr>
          <w:sz w:val="28"/>
          <w:szCs w:val="28"/>
        </w:rPr>
      </w:pPr>
      <w:r>
        <w:rPr>
          <w:sz w:val="28"/>
          <w:szCs w:val="28"/>
        </w:rPr>
        <w:t xml:space="preserve">Останнім часом велике значення у патогенезі </w:t>
      </w:r>
      <w:proofErr w:type="spellStart"/>
      <w:r>
        <w:rPr>
          <w:sz w:val="28"/>
          <w:szCs w:val="28"/>
        </w:rPr>
        <w:t>пародонтиту</w:t>
      </w:r>
      <w:proofErr w:type="spellEnd"/>
      <w:r>
        <w:rPr>
          <w:sz w:val="28"/>
          <w:szCs w:val="28"/>
        </w:rPr>
        <w:t xml:space="preserve"> надають порушенню </w:t>
      </w:r>
      <w:proofErr w:type="spellStart"/>
      <w:r>
        <w:rPr>
          <w:sz w:val="28"/>
          <w:szCs w:val="28"/>
        </w:rPr>
        <w:t>перекисного</w:t>
      </w:r>
      <w:proofErr w:type="spellEnd"/>
      <w:r>
        <w:rPr>
          <w:sz w:val="28"/>
          <w:szCs w:val="28"/>
        </w:rPr>
        <w:t xml:space="preserve"> окислення ліпідів.</w:t>
      </w:r>
    </w:p>
    <w:p w14:paraId="381F543E" w14:textId="77777777" w:rsidR="002B0634" w:rsidRDefault="00000000">
      <w:pPr>
        <w:ind w:firstLine="540"/>
        <w:jc w:val="both"/>
        <w:rPr>
          <w:sz w:val="28"/>
          <w:szCs w:val="28"/>
        </w:rPr>
      </w:pPr>
      <w:r>
        <w:rPr>
          <w:sz w:val="28"/>
          <w:szCs w:val="28"/>
        </w:rPr>
        <w:t xml:space="preserve">Основні </w:t>
      </w:r>
      <w:r>
        <w:rPr>
          <w:i/>
          <w:sz w:val="28"/>
          <w:szCs w:val="28"/>
        </w:rPr>
        <w:t>причини активації неферментативного вільно радикального окислення ліпідів</w:t>
      </w:r>
      <w:r>
        <w:rPr>
          <w:sz w:val="28"/>
          <w:szCs w:val="28"/>
        </w:rPr>
        <w:t xml:space="preserve"> у тканинах пародонту:</w:t>
      </w:r>
    </w:p>
    <w:p w14:paraId="24EF96E8" w14:textId="77777777" w:rsidR="002B0634" w:rsidRDefault="00000000">
      <w:pPr>
        <w:numPr>
          <w:ilvl w:val="0"/>
          <w:numId w:val="9"/>
        </w:numPr>
        <w:ind w:left="0" w:hanging="360"/>
        <w:jc w:val="both"/>
        <w:rPr>
          <w:sz w:val="28"/>
          <w:szCs w:val="28"/>
        </w:rPr>
      </w:pPr>
      <w:r>
        <w:rPr>
          <w:sz w:val="28"/>
          <w:szCs w:val="28"/>
        </w:rPr>
        <w:t>зниження надходження в організм аліментарних антиоксидантів (</w:t>
      </w:r>
      <w:proofErr w:type="spellStart"/>
      <w:r>
        <w:rPr>
          <w:sz w:val="28"/>
          <w:szCs w:val="28"/>
        </w:rPr>
        <w:t>токоферола</w:t>
      </w:r>
      <w:proofErr w:type="spellEnd"/>
      <w:r>
        <w:rPr>
          <w:sz w:val="28"/>
          <w:szCs w:val="28"/>
        </w:rPr>
        <w:t xml:space="preserve">, аскорбінової кислоти, </w:t>
      </w:r>
      <w:proofErr w:type="spellStart"/>
      <w:r>
        <w:rPr>
          <w:sz w:val="28"/>
          <w:szCs w:val="28"/>
        </w:rPr>
        <w:t>біофлавоноїдів</w:t>
      </w:r>
      <w:proofErr w:type="spellEnd"/>
      <w:r>
        <w:rPr>
          <w:sz w:val="28"/>
          <w:szCs w:val="28"/>
        </w:rPr>
        <w:t>)</w:t>
      </w:r>
    </w:p>
    <w:p w14:paraId="167D0798" w14:textId="77777777" w:rsidR="002B0634" w:rsidRDefault="00000000">
      <w:pPr>
        <w:numPr>
          <w:ilvl w:val="0"/>
          <w:numId w:val="9"/>
        </w:numPr>
        <w:ind w:left="0" w:hanging="360"/>
        <w:jc w:val="both"/>
        <w:rPr>
          <w:sz w:val="28"/>
          <w:szCs w:val="28"/>
        </w:rPr>
      </w:pPr>
      <w:r>
        <w:rPr>
          <w:sz w:val="28"/>
          <w:szCs w:val="28"/>
        </w:rPr>
        <w:t>стреси різноманітного походження</w:t>
      </w:r>
    </w:p>
    <w:p w14:paraId="5599065E" w14:textId="77777777" w:rsidR="002B0634" w:rsidRDefault="00000000">
      <w:pPr>
        <w:numPr>
          <w:ilvl w:val="0"/>
          <w:numId w:val="9"/>
        </w:numPr>
        <w:ind w:left="0" w:hanging="360"/>
        <w:jc w:val="both"/>
        <w:rPr>
          <w:sz w:val="28"/>
          <w:szCs w:val="28"/>
        </w:rPr>
      </w:pPr>
      <w:r>
        <w:rPr>
          <w:sz w:val="28"/>
          <w:szCs w:val="28"/>
        </w:rPr>
        <w:t xml:space="preserve">надходження в організм </w:t>
      </w:r>
      <w:proofErr w:type="spellStart"/>
      <w:r>
        <w:rPr>
          <w:sz w:val="28"/>
          <w:szCs w:val="28"/>
        </w:rPr>
        <w:t>прооксидантів</w:t>
      </w:r>
      <w:proofErr w:type="spellEnd"/>
      <w:r>
        <w:rPr>
          <w:sz w:val="28"/>
          <w:szCs w:val="28"/>
        </w:rPr>
        <w:t xml:space="preserve"> (пестициди, медикаменти, нікотин тощо)</w:t>
      </w:r>
    </w:p>
    <w:p w14:paraId="6A962E2B" w14:textId="77777777" w:rsidR="002B0634" w:rsidRDefault="00000000">
      <w:pPr>
        <w:numPr>
          <w:ilvl w:val="0"/>
          <w:numId w:val="9"/>
        </w:numPr>
        <w:ind w:left="0" w:hanging="360"/>
        <w:jc w:val="both"/>
        <w:rPr>
          <w:sz w:val="28"/>
          <w:szCs w:val="28"/>
        </w:rPr>
      </w:pPr>
      <w:r>
        <w:rPr>
          <w:sz w:val="28"/>
          <w:szCs w:val="28"/>
        </w:rPr>
        <w:t>надлишкове вживання жирів</w:t>
      </w:r>
    </w:p>
    <w:p w14:paraId="1E7628A6" w14:textId="77777777" w:rsidR="002B0634" w:rsidRDefault="00000000">
      <w:pPr>
        <w:numPr>
          <w:ilvl w:val="0"/>
          <w:numId w:val="9"/>
        </w:numPr>
        <w:ind w:left="0" w:hanging="360"/>
        <w:jc w:val="both"/>
        <w:rPr>
          <w:sz w:val="28"/>
          <w:szCs w:val="28"/>
        </w:rPr>
      </w:pPr>
      <w:r>
        <w:rPr>
          <w:sz w:val="28"/>
          <w:szCs w:val="28"/>
        </w:rPr>
        <w:t>гіпокінезія – як наслідок – низький рівень біологічного окислення</w:t>
      </w:r>
    </w:p>
    <w:p w14:paraId="360239E7" w14:textId="77777777" w:rsidR="002B0634" w:rsidRDefault="00000000">
      <w:pPr>
        <w:numPr>
          <w:ilvl w:val="0"/>
          <w:numId w:val="9"/>
        </w:numPr>
        <w:ind w:left="0" w:hanging="360"/>
        <w:jc w:val="both"/>
        <w:rPr>
          <w:sz w:val="28"/>
          <w:szCs w:val="28"/>
        </w:rPr>
      </w:pPr>
      <w:r>
        <w:rPr>
          <w:sz w:val="28"/>
          <w:szCs w:val="28"/>
        </w:rPr>
        <w:t>фізичні фактори – підвищений радіоактивний фон, ультрафіолетове опромінення, електромагнітне поле тощо)</w:t>
      </w:r>
    </w:p>
    <w:p w14:paraId="0E742558" w14:textId="77777777" w:rsidR="002B0634" w:rsidRDefault="00000000">
      <w:pPr>
        <w:numPr>
          <w:ilvl w:val="0"/>
          <w:numId w:val="9"/>
        </w:numPr>
        <w:ind w:left="0" w:hanging="360"/>
        <w:jc w:val="both"/>
        <w:rPr>
          <w:sz w:val="28"/>
          <w:szCs w:val="28"/>
        </w:rPr>
      </w:pPr>
      <w:r>
        <w:rPr>
          <w:sz w:val="28"/>
          <w:szCs w:val="28"/>
        </w:rPr>
        <w:lastRenderedPageBreak/>
        <w:t>вікове зниження активності антиоксидантних ферментів</w:t>
      </w:r>
    </w:p>
    <w:p w14:paraId="18C94CF4" w14:textId="77777777" w:rsidR="002B0634" w:rsidRDefault="00000000">
      <w:pPr>
        <w:numPr>
          <w:ilvl w:val="0"/>
          <w:numId w:val="9"/>
        </w:numPr>
        <w:ind w:left="0" w:hanging="360"/>
        <w:jc w:val="both"/>
        <w:rPr>
          <w:sz w:val="28"/>
          <w:szCs w:val="28"/>
        </w:rPr>
      </w:pPr>
      <w:r>
        <w:rPr>
          <w:sz w:val="28"/>
          <w:szCs w:val="28"/>
        </w:rPr>
        <w:t xml:space="preserve">вроджені </w:t>
      </w:r>
      <w:proofErr w:type="spellStart"/>
      <w:r>
        <w:rPr>
          <w:sz w:val="28"/>
          <w:szCs w:val="28"/>
        </w:rPr>
        <w:t>ензимопатії</w:t>
      </w:r>
      <w:proofErr w:type="spellEnd"/>
      <w:r>
        <w:rPr>
          <w:sz w:val="28"/>
          <w:szCs w:val="28"/>
        </w:rPr>
        <w:t xml:space="preserve"> антиоксидантних ферментів.</w:t>
      </w:r>
    </w:p>
    <w:p w14:paraId="7D99F804" w14:textId="77777777" w:rsidR="002B0634" w:rsidRDefault="00000000">
      <w:pPr>
        <w:ind w:firstLine="540"/>
        <w:jc w:val="both"/>
        <w:rPr>
          <w:sz w:val="28"/>
          <w:szCs w:val="28"/>
        </w:rPr>
      </w:pPr>
      <w:r>
        <w:rPr>
          <w:sz w:val="28"/>
          <w:szCs w:val="28"/>
        </w:rPr>
        <w:t xml:space="preserve">Розрізняють </w:t>
      </w:r>
      <w:r>
        <w:rPr>
          <w:i/>
          <w:sz w:val="28"/>
          <w:szCs w:val="28"/>
        </w:rPr>
        <w:t>дві групи антиоксидантів</w:t>
      </w:r>
      <w:r>
        <w:rPr>
          <w:sz w:val="28"/>
          <w:szCs w:val="28"/>
        </w:rPr>
        <w:t>:</w:t>
      </w:r>
    </w:p>
    <w:p w14:paraId="16CCA751" w14:textId="77777777" w:rsidR="002B0634" w:rsidRDefault="00000000">
      <w:pPr>
        <w:numPr>
          <w:ilvl w:val="0"/>
          <w:numId w:val="10"/>
        </w:numPr>
        <w:ind w:left="0" w:hanging="360"/>
        <w:jc w:val="both"/>
        <w:rPr>
          <w:sz w:val="28"/>
          <w:szCs w:val="28"/>
        </w:rPr>
      </w:pPr>
      <w:r>
        <w:rPr>
          <w:sz w:val="28"/>
          <w:szCs w:val="28"/>
        </w:rPr>
        <w:t xml:space="preserve">істинні (прямі) антиоксиданти, здатні безпосередньо з’єднуватись з вільними радикалами, обриваючи ланцюжок ПОЛ – токофероли, </w:t>
      </w:r>
      <w:proofErr w:type="spellStart"/>
      <w:r>
        <w:rPr>
          <w:sz w:val="28"/>
          <w:szCs w:val="28"/>
        </w:rPr>
        <w:t>убіхінони</w:t>
      </w:r>
      <w:proofErr w:type="spellEnd"/>
      <w:r>
        <w:rPr>
          <w:sz w:val="28"/>
          <w:szCs w:val="28"/>
        </w:rPr>
        <w:t>, селен та селен-</w:t>
      </w:r>
      <w:proofErr w:type="spellStart"/>
      <w:r>
        <w:rPr>
          <w:sz w:val="28"/>
          <w:szCs w:val="28"/>
        </w:rPr>
        <w:t>вмісні</w:t>
      </w:r>
      <w:proofErr w:type="spellEnd"/>
      <w:r>
        <w:rPr>
          <w:sz w:val="28"/>
          <w:szCs w:val="28"/>
        </w:rPr>
        <w:t xml:space="preserve"> сполуки</w:t>
      </w:r>
    </w:p>
    <w:p w14:paraId="443B9DA0" w14:textId="77777777" w:rsidR="002B0634" w:rsidRDefault="00000000">
      <w:pPr>
        <w:numPr>
          <w:ilvl w:val="0"/>
          <w:numId w:val="10"/>
        </w:numPr>
        <w:ind w:left="0" w:hanging="360"/>
        <w:jc w:val="both"/>
        <w:rPr>
          <w:sz w:val="28"/>
          <w:szCs w:val="28"/>
        </w:rPr>
      </w:pPr>
      <w:r>
        <w:rPr>
          <w:sz w:val="28"/>
          <w:szCs w:val="28"/>
        </w:rPr>
        <w:t>антиоксиданти непрямої дії:</w:t>
      </w:r>
    </w:p>
    <w:p w14:paraId="3E1ADCBD" w14:textId="77777777" w:rsidR="002B0634" w:rsidRDefault="00000000">
      <w:pPr>
        <w:numPr>
          <w:ilvl w:val="0"/>
          <w:numId w:val="11"/>
        </w:numPr>
        <w:ind w:left="0" w:hanging="360"/>
        <w:jc w:val="both"/>
        <w:rPr>
          <w:sz w:val="28"/>
          <w:szCs w:val="28"/>
        </w:rPr>
      </w:pPr>
      <w:r>
        <w:rPr>
          <w:sz w:val="28"/>
          <w:szCs w:val="28"/>
        </w:rPr>
        <w:t xml:space="preserve">ущільнення клітинних мембран за рахунок </w:t>
      </w:r>
      <w:proofErr w:type="spellStart"/>
      <w:r>
        <w:rPr>
          <w:sz w:val="28"/>
          <w:szCs w:val="28"/>
        </w:rPr>
        <w:t>вбудови</w:t>
      </w:r>
      <w:proofErr w:type="spellEnd"/>
      <w:r>
        <w:rPr>
          <w:sz w:val="28"/>
          <w:szCs w:val="28"/>
        </w:rPr>
        <w:t xml:space="preserve"> в їх структуру – аскорбінова кислота, нікотинова кислота, ЕДТА, лимонна кислота, вітаміни А і К</w:t>
      </w:r>
    </w:p>
    <w:p w14:paraId="279321CB" w14:textId="77777777" w:rsidR="002B0634" w:rsidRDefault="00000000">
      <w:pPr>
        <w:numPr>
          <w:ilvl w:val="0"/>
          <w:numId w:val="11"/>
        </w:numPr>
        <w:ind w:left="0" w:hanging="360"/>
        <w:jc w:val="both"/>
        <w:rPr>
          <w:sz w:val="28"/>
          <w:szCs w:val="28"/>
        </w:rPr>
      </w:pPr>
      <w:r>
        <w:rPr>
          <w:sz w:val="28"/>
          <w:szCs w:val="28"/>
        </w:rPr>
        <w:t xml:space="preserve">посилення дії прямих антиоксидантів – аскорбінова кислота, </w:t>
      </w:r>
      <w:proofErr w:type="spellStart"/>
      <w:r>
        <w:rPr>
          <w:sz w:val="28"/>
          <w:szCs w:val="28"/>
        </w:rPr>
        <w:t>дибунол</w:t>
      </w:r>
      <w:proofErr w:type="spellEnd"/>
      <w:r>
        <w:rPr>
          <w:sz w:val="28"/>
          <w:szCs w:val="28"/>
        </w:rPr>
        <w:t>.</w:t>
      </w:r>
    </w:p>
    <w:p w14:paraId="52842822" w14:textId="77777777" w:rsidR="002B0634" w:rsidRDefault="00000000">
      <w:pPr>
        <w:jc w:val="both"/>
        <w:rPr>
          <w:b/>
          <w:i/>
          <w:sz w:val="28"/>
          <w:szCs w:val="28"/>
        </w:rPr>
      </w:pPr>
      <w:r>
        <w:rPr>
          <w:sz w:val="28"/>
          <w:szCs w:val="28"/>
        </w:rPr>
        <w:t xml:space="preserve">6. </w:t>
      </w:r>
      <w:r>
        <w:rPr>
          <w:b/>
          <w:i/>
          <w:sz w:val="28"/>
          <w:szCs w:val="28"/>
        </w:rPr>
        <w:t>Захворювання внутрішніх органів</w:t>
      </w:r>
    </w:p>
    <w:p w14:paraId="330493D1" w14:textId="77777777" w:rsidR="002B0634" w:rsidRDefault="00000000">
      <w:pPr>
        <w:ind w:firstLine="540"/>
        <w:jc w:val="both"/>
        <w:rPr>
          <w:sz w:val="28"/>
          <w:szCs w:val="28"/>
        </w:rPr>
      </w:pPr>
      <w:r>
        <w:rPr>
          <w:sz w:val="28"/>
          <w:szCs w:val="28"/>
        </w:rPr>
        <w:t>Захворювання ШКТ, серцево-судинної системи, печінки та нирок.</w:t>
      </w:r>
    </w:p>
    <w:p w14:paraId="51A78F3E" w14:textId="77777777" w:rsidR="002B0634" w:rsidRDefault="00000000">
      <w:pPr>
        <w:jc w:val="both"/>
        <w:rPr>
          <w:b/>
          <w:i/>
          <w:sz w:val="28"/>
          <w:szCs w:val="28"/>
        </w:rPr>
      </w:pPr>
      <w:r>
        <w:rPr>
          <w:sz w:val="28"/>
          <w:szCs w:val="28"/>
        </w:rPr>
        <w:t xml:space="preserve">7. </w:t>
      </w:r>
      <w:r>
        <w:rPr>
          <w:b/>
          <w:i/>
          <w:sz w:val="28"/>
          <w:szCs w:val="28"/>
        </w:rPr>
        <w:t>Захворювання крові та кровотворної системи</w:t>
      </w:r>
    </w:p>
    <w:p w14:paraId="242F20F5" w14:textId="77777777" w:rsidR="002B0634" w:rsidRDefault="00000000">
      <w:pPr>
        <w:ind w:firstLine="540"/>
        <w:jc w:val="both"/>
        <w:rPr>
          <w:sz w:val="28"/>
          <w:szCs w:val="28"/>
        </w:rPr>
      </w:pPr>
      <w:r>
        <w:rPr>
          <w:sz w:val="28"/>
          <w:szCs w:val="28"/>
        </w:rPr>
        <w:t xml:space="preserve">При захворюваннях кров в тканинах пародонту швидко виникають зміни, що проявляються кровоточивістю і гіперплазією ясен, резорбцією та остеопорозом кістки альвеолярного паростка. Найбільш виражені ураження з агресивним перебігом спостерігаються при лейкозах та лейкемії, менш виражені – при анеміях та </w:t>
      </w:r>
      <w:proofErr w:type="spellStart"/>
      <w:r>
        <w:rPr>
          <w:sz w:val="28"/>
          <w:szCs w:val="28"/>
        </w:rPr>
        <w:t>нейтропенії</w:t>
      </w:r>
      <w:proofErr w:type="spellEnd"/>
      <w:r>
        <w:rPr>
          <w:sz w:val="28"/>
          <w:szCs w:val="28"/>
        </w:rPr>
        <w:t xml:space="preserve">. </w:t>
      </w:r>
    </w:p>
    <w:p w14:paraId="3F100BE7" w14:textId="77777777" w:rsidR="002B0634" w:rsidRDefault="00000000">
      <w:pPr>
        <w:ind w:firstLine="540"/>
        <w:jc w:val="both"/>
        <w:rPr>
          <w:sz w:val="28"/>
          <w:szCs w:val="28"/>
        </w:rPr>
      </w:pPr>
      <w:r>
        <w:rPr>
          <w:sz w:val="28"/>
          <w:szCs w:val="28"/>
        </w:rPr>
        <w:t xml:space="preserve">В.С. Іванов та П.П. </w:t>
      </w:r>
      <w:proofErr w:type="spellStart"/>
      <w:r>
        <w:rPr>
          <w:sz w:val="28"/>
          <w:szCs w:val="28"/>
        </w:rPr>
        <w:t>Бєліков</w:t>
      </w:r>
      <w:proofErr w:type="spellEnd"/>
      <w:r>
        <w:rPr>
          <w:sz w:val="28"/>
          <w:szCs w:val="28"/>
        </w:rPr>
        <w:t xml:space="preserve"> вказують на роль системи згортання крові та </w:t>
      </w:r>
      <w:proofErr w:type="spellStart"/>
      <w:r>
        <w:rPr>
          <w:sz w:val="28"/>
          <w:szCs w:val="28"/>
        </w:rPr>
        <w:t>фібринолітичної</w:t>
      </w:r>
      <w:proofErr w:type="spellEnd"/>
      <w:r>
        <w:rPr>
          <w:sz w:val="28"/>
          <w:szCs w:val="28"/>
        </w:rPr>
        <w:t xml:space="preserve"> системи, відзначаючи зниження процесів фібринолізу.</w:t>
      </w:r>
    </w:p>
    <w:p w14:paraId="65A57FE5" w14:textId="77777777" w:rsidR="002B0634" w:rsidRDefault="00000000">
      <w:pPr>
        <w:jc w:val="both"/>
        <w:rPr>
          <w:b/>
          <w:i/>
          <w:sz w:val="28"/>
          <w:szCs w:val="28"/>
        </w:rPr>
      </w:pPr>
      <w:r>
        <w:rPr>
          <w:sz w:val="28"/>
          <w:szCs w:val="28"/>
        </w:rPr>
        <w:t xml:space="preserve">8. </w:t>
      </w:r>
      <w:r>
        <w:rPr>
          <w:b/>
          <w:i/>
          <w:sz w:val="28"/>
          <w:szCs w:val="28"/>
        </w:rPr>
        <w:t>Зміна імунологічної реактивності організму.</w:t>
      </w:r>
    </w:p>
    <w:p w14:paraId="19287260" w14:textId="77777777" w:rsidR="002B0634" w:rsidRDefault="00000000">
      <w:pPr>
        <w:ind w:firstLine="540"/>
        <w:jc w:val="both"/>
        <w:rPr>
          <w:sz w:val="28"/>
          <w:szCs w:val="28"/>
        </w:rPr>
      </w:pPr>
      <w:r>
        <w:rPr>
          <w:sz w:val="28"/>
          <w:szCs w:val="28"/>
        </w:rPr>
        <w:t xml:space="preserve">Виявлено істотне ослаблення специфічних та неспецифічних факторів місцевого імунітету. При </w:t>
      </w:r>
      <w:proofErr w:type="spellStart"/>
      <w:r>
        <w:rPr>
          <w:sz w:val="28"/>
          <w:szCs w:val="28"/>
        </w:rPr>
        <w:t>пародонтиті</w:t>
      </w:r>
      <w:proofErr w:type="spellEnd"/>
      <w:r>
        <w:rPr>
          <w:sz w:val="28"/>
          <w:szCs w:val="28"/>
        </w:rPr>
        <w:t xml:space="preserve"> зростає вміст в тканинах пародонту </w:t>
      </w:r>
      <w:proofErr w:type="spellStart"/>
      <w:r>
        <w:rPr>
          <w:sz w:val="28"/>
          <w:szCs w:val="28"/>
        </w:rPr>
        <w:t>імуноглобулінів</w:t>
      </w:r>
      <w:proofErr w:type="spellEnd"/>
      <w:r>
        <w:rPr>
          <w:sz w:val="28"/>
          <w:szCs w:val="28"/>
        </w:rPr>
        <w:t xml:space="preserve"> G та А.</w:t>
      </w:r>
    </w:p>
    <w:p w14:paraId="3FB87BDB" w14:textId="77777777" w:rsidR="002B0634" w:rsidRDefault="00000000">
      <w:pPr>
        <w:ind w:firstLine="540"/>
        <w:jc w:val="both"/>
        <w:rPr>
          <w:sz w:val="28"/>
          <w:szCs w:val="28"/>
        </w:rPr>
      </w:pPr>
      <w:r>
        <w:rPr>
          <w:sz w:val="28"/>
          <w:szCs w:val="28"/>
        </w:rPr>
        <w:t xml:space="preserve">В організмі хворих на </w:t>
      </w:r>
      <w:proofErr w:type="spellStart"/>
      <w:r>
        <w:rPr>
          <w:sz w:val="28"/>
          <w:szCs w:val="28"/>
        </w:rPr>
        <w:t>пародонтит</w:t>
      </w:r>
      <w:proofErr w:type="spellEnd"/>
      <w:r>
        <w:rPr>
          <w:sz w:val="28"/>
          <w:szCs w:val="28"/>
        </w:rPr>
        <w:t xml:space="preserve"> виявляються антитіла не лише до мікроорганізмів </w:t>
      </w:r>
      <w:proofErr w:type="spellStart"/>
      <w:r>
        <w:rPr>
          <w:sz w:val="28"/>
          <w:szCs w:val="28"/>
        </w:rPr>
        <w:t>пародонтальної</w:t>
      </w:r>
      <w:proofErr w:type="spellEnd"/>
      <w:r>
        <w:rPr>
          <w:sz w:val="28"/>
          <w:szCs w:val="28"/>
        </w:rPr>
        <w:t xml:space="preserve"> кишені, але і до власних тканин пародонту. Багато вчених розглядають </w:t>
      </w:r>
      <w:proofErr w:type="spellStart"/>
      <w:r>
        <w:rPr>
          <w:sz w:val="28"/>
          <w:szCs w:val="28"/>
        </w:rPr>
        <w:t>пародонтит</w:t>
      </w:r>
      <w:proofErr w:type="spellEnd"/>
      <w:r>
        <w:rPr>
          <w:sz w:val="28"/>
          <w:szCs w:val="28"/>
        </w:rPr>
        <w:t xml:space="preserve"> як </w:t>
      </w:r>
      <w:proofErr w:type="spellStart"/>
      <w:r>
        <w:rPr>
          <w:sz w:val="28"/>
          <w:szCs w:val="28"/>
        </w:rPr>
        <w:t>аутоімунний</w:t>
      </w:r>
      <w:proofErr w:type="spellEnd"/>
      <w:r>
        <w:rPr>
          <w:sz w:val="28"/>
          <w:szCs w:val="28"/>
        </w:rPr>
        <w:t xml:space="preserve"> процес, що припиняється після втрати останнього зуба. Для зниження антигенної стимуляції власними антигенами проводять </w:t>
      </w:r>
      <w:proofErr w:type="spellStart"/>
      <w:r>
        <w:rPr>
          <w:sz w:val="28"/>
          <w:szCs w:val="28"/>
        </w:rPr>
        <w:t>депульпування</w:t>
      </w:r>
      <w:proofErr w:type="spellEnd"/>
      <w:r>
        <w:rPr>
          <w:sz w:val="28"/>
          <w:szCs w:val="28"/>
        </w:rPr>
        <w:t xml:space="preserve"> зубів. </w:t>
      </w:r>
    </w:p>
    <w:p w14:paraId="23745621" w14:textId="77777777" w:rsidR="002B0634" w:rsidRDefault="00000000">
      <w:pPr>
        <w:ind w:firstLine="540"/>
        <w:jc w:val="both"/>
        <w:rPr>
          <w:sz w:val="28"/>
          <w:szCs w:val="28"/>
        </w:rPr>
      </w:pPr>
      <w:r>
        <w:rPr>
          <w:sz w:val="28"/>
          <w:szCs w:val="28"/>
        </w:rPr>
        <w:t xml:space="preserve">Згідно визначення І.С. </w:t>
      </w:r>
      <w:proofErr w:type="spellStart"/>
      <w:r>
        <w:rPr>
          <w:sz w:val="28"/>
          <w:szCs w:val="28"/>
        </w:rPr>
        <w:t>Мащенко</w:t>
      </w:r>
      <w:proofErr w:type="spellEnd"/>
      <w:r>
        <w:rPr>
          <w:sz w:val="28"/>
          <w:szCs w:val="28"/>
        </w:rPr>
        <w:t xml:space="preserve"> </w:t>
      </w:r>
      <w:proofErr w:type="spellStart"/>
      <w:r>
        <w:rPr>
          <w:sz w:val="28"/>
          <w:szCs w:val="28"/>
        </w:rPr>
        <w:t>пародонтит</w:t>
      </w:r>
      <w:proofErr w:type="spellEnd"/>
      <w:r>
        <w:rPr>
          <w:sz w:val="28"/>
          <w:szCs w:val="28"/>
        </w:rPr>
        <w:t xml:space="preserve"> – алергічна реакція сповільненого типу.</w:t>
      </w:r>
    </w:p>
    <w:p w14:paraId="4118F419" w14:textId="77777777" w:rsidR="002B0634" w:rsidRDefault="00000000">
      <w:pPr>
        <w:jc w:val="both"/>
        <w:rPr>
          <w:b/>
          <w:i/>
          <w:sz w:val="28"/>
          <w:szCs w:val="28"/>
        </w:rPr>
      </w:pPr>
      <w:r>
        <w:rPr>
          <w:sz w:val="28"/>
          <w:szCs w:val="28"/>
        </w:rPr>
        <w:t xml:space="preserve">9. </w:t>
      </w:r>
      <w:r>
        <w:rPr>
          <w:b/>
          <w:i/>
          <w:sz w:val="28"/>
          <w:szCs w:val="28"/>
        </w:rPr>
        <w:t>Вплив генетичних факторів.</w:t>
      </w:r>
    </w:p>
    <w:p w14:paraId="75594130" w14:textId="77777777" w:rsidR="002B0634" w:rsidRDefault="00000000">
      <w:pPr>
        <w:ind w:firstLine="540"/>
        <w:jc w:val="both"/>
        <w:rPr>
          <w:sz w:val="28"/>
          <w:szCs w:val="28"/>
        </w:rPr>
        <w:sectPr w:rsidR="002B0634">
          <w:pgSz w:w="11906" w:h="16838"/>
          <w:pgMar w:top="851" w:right="737" w:bottom="851" w:left="1247" w:header="709" w:footer="709" w:gutter="0"/>
          <w:pgNumType w:start="1"/>
          <w:cols w:space="720"/>
        </w:sectPr>
      </w:pPr>
      <w:r>
        <w:rPr>
          <w:sz w:val="28"/>
          <w:szCs w:val="28"/>
        </w:rPr>
        <w:t xml:space="preserve">Існує думка, що </w:t>
      </w:r>
      <w:proofErr w:type="spellStart"/>
      <w:r>
        <w:rPr>
          <w:sz w:val="28"/>
          <w:szCs w:val="28"/>
        </w:rPr>
        <w:t>пародонтит</w:t>
      </w:r>
      <w:proofErr w:type="spellEnd"/>
      <w:r>
        <w:rPr>
          <w:sz w:val="28"/>
          <w:szCs w:val="28"/>
        </w:rPr>
        <w:t xml:space="preserve"> передається за домінантною ознакою.</w:t>
      </w:r>
    </w:p>
    <w:p w14:paraId="7C26D408" w14:textId="77777777" w:rsidR="002B0634" w:rsidRDefault="00000000">
      <w:pPr>
        <w:jc w:val="center"/>
        <w:rPr>
          <w:b/>
          <w:i/>
        </w:rPr>
      </w:pPr>
      <w:r>
        <w:rPr>
          <w:b/>
          <w:i/>
        </w:rPr>
        <w:lastRenderedPageBreak/>
        <w:t xml:space="preserve">Патогенез </w:t>
      </w:r>
      <w:proofErr w:type="spellStart"/>
      <w:r>
        <w:rPr>
          <w:b/>
          <w:i/>
        </w:rPr>
        <w:t>пародонтиту</w:t>
      </w:r>
      <w:proofErr w:type="spellEnd"/>
    </w:p>
    <w:p w14:paraId="78A13203" w14:textId="77777777" w:rsidR="002B0634" w:rsidRDefault="002B0634">
      <w:pPr>
        <w:jc w:val="center"/>
        <w:rPr>
          <w:b/>
          <w:i/>
        </w:rPr>
      </w:pPr>
    </w:p>
    <w:tbl>
      <w:tblPr>
        <w:tblStyle w:val="aa"/>
        <w:tblW w:w="14429" w:type="dxa"/>
        <w:jc w:val="center"/>
        <w:tblInd w:w="0" w:type="dxa"/>
        <w:tblLayout w:type="fixed"/>
        <w:tblLook w:val="0000" w:firstRow="0" w:lastRow="0" w:firstColumn="0" w:lastColumn="0" w:noHBand="0" w:noVBand="0"/>
      </w:tblPr>
      <w:tblGrid>
        <w:gridCol w:w="3063"/>
        <w:gridCol w:w="4136"/>
        <w:gridCol w:w="272"/>
        <w:gridCol w:w="4168"/>
        <w:gridCol w:w="250"/>
        <w:gridCol w:w="1079"/>
        <w:gridCol w:w="1461"/>
      </w:tblGrid>
      <w:tr w:rsidR="002B0634" w14:paraId="515B754A" w14:textId="77777777">
        <w:trPr>
          <w:cantSplit/>
          <w:jc w:val="center"/>
        </w:trPr>
        <w:tc>
          <w:tcPr>
            <w:tcW w:w="7207" w:type="dxa"/>
            <w:gridSpan w:val="2"/>
            <w:tcBorders>
              <w:top w:val="single" w:sz="4" w:space="0" w:color="000000"/>
              <w:left w:val="single" w:sz="4" w:space="0" w:color="000000"/>
              <w:bottom w:val="single" w:sz="4" w:space="0" w:color="000000"/>
              <w:right w:val="single" w:sz="4" w:space="0" w:color="000000"/>
            </w:tcBorders>
            <w:vAlign w:val="center"/>
          </w:tcPr>
          <w:p w14:paraId="5B0887B6" w14:textId="77777777" w:rsidR="002B0634" w:rsidRDefault="00000000">
            <w:pPr>
              <w:pStyle w:val="3"/>
              <w:rPr>
                <w:sz w:val="24"/>
                <w:szCs w:val="24"/>
              </w:rPr>
            </w:pPr>
            <w:r>
              <w:rPr>
                <w:sz w:val="24"/>
                <w:szCs w:val="24"/>
              </w:rPr>
              <w:t>ЗАГАЛЬНІ  ФАКТОРИ</w:t>
            </w:r>
          </w:p>
          <w:p w14:paraId="714B3D3C" w14:textId="77777777" w:rsidR="002B0634" w:rsidRDefault="00000000">
            <w:r>
              <w:t>Недостатність антиоксидантів у раціоні, емоційний стрес, гіподинамія</w:t>
            </w:r>
          </w:p>
        </w:tc>
        <w:tc>
          <w:tcPr>
            <w:tcW w:w="272" w:type="dxa"/>
            <w:tcBorders>
              <w:left w:val="single" w:sz="4" w:space="0" w:color="000000"/>
              <w:right w:val="single" w:sz="4" w:space="0" w:color="000000"/>
            </w:tcBorders>
            <w:vAlign w:val="center"/>
          </w:tcPr>
          <w:p w14:paraId="6E792B1E" w14:textId="77777777" w:rsidR="002B0634" w:rsidRDefault="002B0634">
            <w:pPr>
              <w:jc w:val="both"/>
            </w:pPr>
          </w:p>
        </w:tc>
        <w:tc>
          <w:tcPr>
            <w:tcW w:w="6950" w:type="dxa"/>
            <w:gridSpan w:val="4"/>
            <w:tcBorders>
              <w:top w:val="single" w:sz="4" w:space="0" w:color="000000"/>
              <w:left w:val="single" w:sz="4" w:space="0" w:color="000000"/>
              <w:bottom w:val="single" w:sz="4" w:space="0" w:color="000000"/>
              <w:right w:val="single" w:sz="4" w:space="0" w:color="000000"/>
            </w:tcBorders>
            <w:vAlign w:val="center"/>
          </w:tcPr>
          <w:p w14:paraId="397815B6" w14:textId="77777777" w:rsidR="002B0634" w:rsidRDefault="00000000">
            <w:pPr>
              <w:pStyle w:val="3"/>
              <w:rPr>
                <w:sz w:val="24"/>
                <w:szCs w:val="24"/>
              </w:rPr>
            </w:pPr>
            <w:r>
              <w:rPr>
                <w:sz w:val="24"/>
                <w:szCs w:val="24"/>
              </w:rPr>
              <w:t>МІСЦЕВІ  ФАКТОРИ</w:t>
            </w:r>
          </w:p>
          <w:p w14:paraId="4EE5ABAD" w14:textId="77777777" w:rsidR="002B0634" w:rsidRDefault="00000000">
            <w:pPr>
              <w:jc w:val="both"/>
            </w:pPr>
            <w:r>
              <w:t>Зубна бляшка</w:t>
            </w:r>
          </w:p>
          <w:p w14:paraId="5BF7ED67" w14:textId="77777777" w:rsidR="002B0634" w:rsidRDefault="00000000">
            <w:pPr>
              <w:jc w:val="both"/>
            </w:pPr>
            <w:r>
              <w:t>Зубний наліт</w:t>
            </w:r>
          </w:p>
        </w:tc>
      </w:tr>
      <w:tr w:rsidR="002B0634" w14:paraId="7D4DC44D" w14:textId="77777777">
        <w:trPr>
          <w:cantSplit/>
          <w:jc w:val="center"/>
        </w:trPr>
        <w:tc>
          <w:tcPr>
            <w:tcW w:w="7207" w:type="dxa"/>
            <w:gridSpan w:val="2"/>
            <w:tcBorders>
              <w:top w:val="single" w:sz="4" w:space="0" w:color="000000"/>
              <w:bottom w:val="single" w:sz="4" w:space="0" w:color="000000"/>
            </w:tcBorders>
            <w:vAlign w:val="center"/>
          </w:tcPr>
          <w:p w14:paraId="3CAF6ECD" w14:textId="77777777" w:rsidR="002B0634" w:rsidRDefault="00000000">
            <w:pPr>
              <w:jc w:val="center"/>
            </w:pPr>
            <w:sdt>
              <w:sdtPr>
                <w:tag w:val="goog_rdk_0"/>
                <w:id w:val="537608845"/>
              </w:sdtPr>
              <w:sdtContent>
                <w:r>
                  <w:rPr>
                    <w:rFonts w:ascii="Cardo" w:eastAsia="Cardo" w:hAnsi="Cardo" w:cs="Cardo"/>
                  </w:rPr>
                  <w:t>↓</w:t>
                </w:r>
              </w:sdtContent>
            </w:sdt>
          </w:p>
        </w:tc>
        <w:tc>
          <w:tcPr>
            <w:tcW w:w="272" w:type="dxa"/>
            <w:vAlign w:val="center"/>
          </w:tcPr>
          <w:p w14:paraId="313A7CEC" w14:textId="77777777" w:rsidR="002B0634" w:rsidRDefault="002B0634">
            <w:pPr>
              <w:jc w:val="center"/>
            </w:pPr>
          </w:p>
        </w:tc>
        <w:tc>
          <w:tcPr>
            <w:tcW w:w="6950" w:type="dxa"/>
            <w:gridSpan w:val="4"/>
            <w:tcBorders>
              <w:top w:val="single" w:sz="4" w:space="0" w:color="000000"/>
              <w:left w:val="nil"/>
              <w:bottom w:val="single" w:sz="4" w:space="0" w:color="000000"/>
            </w:tcBorders>
            <w:vAlign w:val="center"/>
          </w:tcPr>
          <w:p w14:paraId="2BD74A65" w14:textId="77777777" w:rsidR="002B0634" w:rsidRDefault="00000000">
            <w:pPr>
              <w:jc w:val="center"/>
            </w:pPr>
            <w:sdt>
              <w:sdtPr>
                <w:tag w:val="goog_rdk_1"/>
                <w:id w:val="469387922"/>
              </w:sdtPr>
              <w:sdtContent>
                <w:r>
                  <w:rPr>
                    <w:rFonts w:ascii="Cardo" w:eastAsia="Cardo" w:hAnsi="Cardo" w:cs="Cardo"/>
                  </w:rPr>
                  <w:t>↓</w:t>
                </w:r>
              </w:sdtContent>
            </w:sdt>
          </w:p>
        </w:tc>
      </w:tr>
      <w:tr w:rsidR="002B0634" w14:paraId="06894096" w14:textId="77777777">
        <w:trPr>
          <w:cantSplit/>
          <w:jc w:val="center"/>
        </w:trPr>
        <w:tc>
          <w:tcPr>
            <w:tcW w:w="7207" w:type="dxa"/>
            <w:gridSpan w:val="2"/>
            <w:tcBorders>
              <w:top w:val="single" w:sz="4" w:space="0" w:color="000000"/>
              <w:left w:val="single" w:sz="4" w:space="0" w:color="000000"/>
              <w:bottom w:val="single" w:sz="4" w:space="0" w:color="000000"/>
              <w:right w:val="single" w:sz="4" w:space="0" w:color="000000"/>
            </w:tcBorders>
            <w:vAlign w:val="center"/>
          </w:tcPr>
          <w:p w14:paraId="2B70C658" w14:textId="77777777" w:rsidR="002B0634" w:rsidRDefault="00000000">
            <w:pPr>
              <w:jc w:val="both"/>
            </w:pPr>
            <w:r>
              <w:t>Недостатність фізіологічної антиоксидантної системи</w:t>
            </w:r>
          </w:p>
        </w:tc>
        <w:tc>
          <w:tcPr>
            <w:tcW w:w="272" w:type="dxa"/>
            <w:tcBorders>
              <w:left w:val="single" w:sz="4" w:space="0" w:color="000000"/>
              <w:right w:val="single" w:sz="4" w:space="0" w:color="000000"/>
            </w:tcBorders>
            <w:vAlign w:val="center"/>
          </w:tcPr>
          <w:p w14:paraId="2075E7ED" w14:textId="77777777" w:rsidR="002B0634" w:rsidRDefault="002B0634">
            <w:pPr>
              <w:jc w:val="both"/>
            </w:pPr>
          </w:p>
        </w:tc>
        <w:tc>
          <w:tcPr>
            <w:tcW w:w="6950" w:type="dxa"/>
            <w:gridSpan w:val="4"/>
            <w:tcBorders>
              <w:top w:val="single" w:sz="4" w:space="0" w:color="000000"/>
              <w:left w:val="single" w:sz="4" w:space="0" w:color="000000"/>
              <w:bottom w:val="single" w:sz="4" w:space="0" w:color="000000"/>
              <w:right w:val="single" w:sz="4" w:space="0" w:color="000000"/>
            </w:tcBorders>
            <w:vAlign w:val="center"/>
          </w:tcPr>
          <w:p w14:paraId="664F2D49" w14:textId="77777777" w:rsidR="002B0634" w:rsidRDefault="00000000">
            <w:pPr>
              <w:jc w:val="both"/>
            </w:pPr>
            <w:r>
              <w:t xml:space="preserve">Міграція </w:t>
            </w:r>
            <w:proofErr w:type="spellStart"/>
            <w:r>
              <w:t>нейтрофілів</w:t>
            </w:r>
            <w:proofErr w:type="spellEnd"/>
            <w:r>
              <w:t xml:space="preserve"> до слини та ясенної рідини, інфільтрація тканин ясен лейкоцитами</w:t>
            </w:r>
          </w:p>
        </w:tc>
      </w:tr>
      <w:tr w:rsidR="002B0634" w14:paraId="760C4AB6" w14:textId="77777777">
        <w:trPr>
          <w:cantSplit/>
          <w:jc w:val="center"/>
        </w:trPr>
        <w:tc>
          <w:tcPr>
            <w:tcW w:w="7207" w:type="dxa"/>
            <w:gridSpan w:val="2"/>
            <w:tcBorders>
              <w:top w:val="single" w:sz="4" w:space="0" w:color="000000"/>
              <w:bottom w:val="single" w:sz="4" w:space="0" w:color="000000"/>
            </w:tcBorders>
            <w:vAlign w:val="center"/>
          </w:tcPr>
          <w:p w14:paraId="5A7F5FA8" w14:textId="77777777" w:rsidR="002B0634" w:rsidRDefault="00000000">
            <w:pPr>
              <w:jc w:val="center"/>
            </w:pPr>
            <w:sdt>
              <w:sdtPr>
                <w:tag w:val="goog_rdk_2"/>
                <w:id w:val="-1482842145"/>
              </w:sdtPr>
              <w:sdtContent>
                <w:r>
                  <w:rPr>
                    <w:rFonts w:ascii="Cardo" w:eastAsia="Cardo" w:hAnsi="Cardo" w:cs="Cardo"/>
                  </w:rPr>
                  <w:t>↓</w:t>
                </w:r>
              </w:sdtContent>
            </w:sdt>
          </w:p>
        </w:tc>
        <w:tc>
          <w:tcPr>
            <w:tcW w:w="272" w:type="dxa"/>
            <w:vAlign w:val="center"/>
          </w:tcPr>
          <w:p w14:paraId="63858D77" w14:textId="77777777" w:rsidR="002B0634" w:rsidRDefault="002B0634">
            <w:pPr>
              <w:jc w:val="center"/>
            </w:pPr>
          </w:p>
        </w:tc>
        <w:tc>
          <w:tcPr>
            <w:tcW w:w="6950" w:type="dxa"/>
            <w:gridSpan w:val="4"/>
            <w:tcBorders>
              <w:top w:val="single" w:sz="4" w:space="0" w:color="000000"/>
              <w:left w:val="nil"/>
              <w:bottom w:val="single" w:sz="4" w:space="0" w:color="000000"/>
            </w:tcBorders>
            <w:vAlign w:val="center"/>
          </w:tcPr>
          <w:p w14:paraId="1590FB7B" w14:textId="77777777" w:rsidR="002B0634" w:rsidRDefault="00000000">
            <w:pPr>
              <w:jc w:val="center"/>
            </w:pPr>
            <w:sdt>
              <w:sdtPr>
                <w:tag w:val="goog_rdk_3"/>
                <w:id w:val="-7051226"/>
              </w:sdtPr>
              <w:sdtContent>
                <w:r>
                  <w:rPr>
                    <w:rFonts w:ascii="Cardo" w:eastAsia="Cardo" w:hAnsi="Cardo" w:cs="Cardo"/>
                  </w:rPr>
                  <w:t>↓</w:t>
                </w:r>
              </w:sdtContent>
            </w:sdt>
          </w:p>
        </w:tc>
      </w:tr>
      <w:tr w:rsidR="002B0634" w14:paraId="4CA1B696" w14:textId="77777777">
        <w:trPr>
          <w:cantSplit/>
          <w:jc w:val="center"/>
        </w:trPr>
        <w:tc>
          <w:tcPr>
            <w:tcW w:w="7207" w:type="dxa"/>
            <w:gridSpan w:val="2"/>
            <w:tcBorders>
              <w:top w:val="single" w:sz="4" w:space="0" w:color="000000"/>
              <w:left w:val="single" w:sz="4" w:space="0" w:color="000000"/>
              <w:bottom w:val="single" w:sz="4" w:space="0" w:color="000000"/>
              <w:right w:val="single" w:sz="4" w:space="0" w:color="000000"/>
            </w:tcBorders>
            <w:vAlign w:val="center"/>
          </w:tcPr>
          <w:p w14:paraId="509B2EB0" w14:textId="77777777" w:rsidR="002B0634" w:rsidRDefault="00000000">
            <w:pPr>
              <w:jc w:val="both"/>
            </w:pPr>
            <w:r>
              <w:t xml:space="preserve">Активація неферментативного </w:t>
            </w:r>
            <w:proofErr w:type="spellStart"/>
            <w:r>
              <w:t>вільнорадикального</w:t>
            </w:r>
            <w:proofErr w:type="spellEnd"/>
            <w:r>
              <w:t xml:space="preserve"> окислення в м’яких тканинах пародонту</w:t>
            </w:r>
          </w:p>
        </w:tc>
        <w:tc>
          <w:tcPr>
            <w:tcW w:w="272" w:type="dxa"/>
            <w:tcBorders>
              <w:left w:val="single" w:sz="4" w:space="0" w:color="000000"/>
              <w:right w:val="single" w:sz="4" w:space="0" w:color="000000"/>
            </w:tcBorders>
            <w:vAlign w:val="center"/>
          </w:tcPr>
          <w:p w14:paraId="6C5AF877" w14:textId="77777777" w:rsidR="002B0634" w:rsidRDefault="002B0634">
            <w:pPr>
              <w:jc w:val="both"/>
            </w:pPr>
          </w:p>
        </w:tc>
        <w:tc>
          <w:tcPr>
            <w:tcW w:w="6950" w:type="dxa"/>
            <w:gridSpan w:val="4"/>
            <w:tcBorders>
              <w:top w:val="single" w:sz="4" w:space="0" w:color="000000"/>
              <w:left w:val="single" w:sz="4" w:space="0" w:color="000000"/>
              <w:bottom w:val="single" w:sz="4" w:space="0" w:color="000000"/>
              <w:right w:val="single" w:sz="4" w:space="0" w:color="000000"/>
            </w:tcBorders>
            <w:vAlign w:val="center"/>
          </w:tcPr>
          <w:p w14:paraId="78FAE7F6" w14:textId="77777777" w:rsidR="002B0634" w:rsidRDefault="00000000">
            <w:pPr>
              <w:jc w:val="both"/>
            </w:pPr>
            <w:r>
              <w:t xml:space="preserve">«Дихальний вибух лейкоцитів» – активація ферментативного </w:t>
            </w:r>
            <w:proofErr w:type="spellStart"/>
            <w:r>
              <w:t>вільнорадикального</w:t>
            </w:r>
            <w:proofErr w:type="spellEnd"/>
            <w:r>
              <w:t xml:space="preserve"> окислення в лейкоцитах</w:t>
            </w:r>
          </w:p>
        </w:tc>
      </w:tr>
      <w:tr w:rsidR="002B0634" w14:paraId="06F8CDC7" w14:textId="77777777">
        <w:trPr>
          <w:cantSplit/>
          <w:jc w:val="center"/>
        </w:trPr>
        <w:tc>
          <w:tcPr>
            <w:tcW w:w="7207" w:type="dxa"/>
            <w:gridSpan w:val="2"/>
            <w:vMerge w:val="restart"/>
            <w:tcBorders>
              <w:top w:val="single" w:sz="4" w:space="0" w:color="000000"/>
            </w:tcBorders>
            <w:vAlign w:val="center"/>
          </w:tcPr>
          <w:p w14:paraId="72E679D2" w14:textId="77777777" w:rsidR="002B0634" w:rsidRDefault="00000000">
            <w:pPr>
              <w:jc w:val="both"/>
            </w:pPr>
            <w:r>
              <w:rPr>
                <w:noProof/>
              </w:rPr>
              <mc:AlternateContent>
                <mc:Choice Requires="wps">
                  <w:drawing>
                    <wp:anchor distT="0" distB="0" distL="114300" distR="114300" simplePos="0" relativeHeight="251658240" behindDoc="0" locked="0" layoutInCell="1" hidden="0" allowOverlap="1" wp14:anchorId="28014095" wp14:editId="531759BD">
                      <wp:simplePos x="0" y="0"/>
                      <wp:positionH relativeFrom="column">
                        <wp:posOffset>2209165</wp:posOffset>
                      </wp:positionH>
                      <wp:positionV relativeFrom="paragraph">
                        <wp:posOffset>68580</wp:posOffset>
                      </wp:positionV>
                      <wp:extent cx="0" cy="1714500"/>
                      <wp:effectExtent l="0" t="0" r="0" b="0"/>
                      <wp:wrapNone/>
                      <wp:docPr id="7" name="Пряма зі стрілкою 7"/>
                      <wp:cNvGraphicFramePr/>
                      <a:graphic xmlns:a="http://schemas.openxmlformats.org/drawingml/2006/main">
                        <a:graphicData uri="http://schemas.microsoft.com/office/word/2010/wordprocessingShape">
                          <wps:wsp>
                            <wps:cNvCnPr/>
                            <wps:spPr>
                              <a:xfrm>
                                <a:off x="5346000" y="2922750"/>
                                <a:ext cx="0" cy="17145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2209165</wp:posOffset>
                      </wp:positionH>
                      <wp:positionV relativeFrom="paragraph">
                        <wp:posOffset>68580</wp:posOffset>
                      </wp:positionV>
                      <wp:extent cx="0" cy="1714500"/>
                      <wp:effectExtent b="0" l="0" r="0" t="0"/>
                      <wp:wrapNone/>
                      <wp:docPr id="7"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714500"/>
                              </a:xfrm>
                              <a:prstGeom prst="rect"/>
                              <a:ln/>
                            </pic:spPr>
                          </pic:pic>
                        </a:graphicData>
                      </a:graphic>
                    </wp:anchor>
                  </w:drawing>
                </mc:Fallback>
              </mc:AlternateContent>
            </w:r>
          </w:p>
          <w:p w14:paraId="0EDC6B9F" w14:textId="77777777" w:rsidR="002B0634" w:rsidRDefault="002B0634">
            <w:pPr>
              <w:jc w:val="both"/>
            </w:pPr>
          </w:p>
        </w:tc>
        <w:tc>
          <w:tcPr>
            <w:tcW w:w="272" w:type="dxa"/>
            <w:vMerge w:val="restart"/>
            <w:vAlign w:val="center"/>
          </w:tcPr>
          <w:p w14:paraId="39196FD4" w14:textId="77777777" w:rsidR="002B0634" w:rsidRDefault="002B0634">
            <w:pPr>
              <w:jc w:val="center"/>
            </w:pPr>
          </w:p>
        </w:tc>
        <w:tc>
          <w:tcPr>
            <w:tcW w:w="6950" w:type="dxa"/>
            <w:gridSpan w:val="4"/>
            <w:tcBorders>
              <w:top w:val="single" w:sz="4" w:space="0" w:color="000000"/>
              <w:left w:val="nil"/>
              <w:bottom w:val="single" w:sz="4" w:space="0" w:color="000000"/>
            </w:tcBorders>
            <w:vAlign w:val="center"/>
          </w:tcPr>
          <w:p w14:paraId="1FE3F348" w14:textId="77777777" w:rsidR="002B0634" w:rsidRDefault="00000000">
            <w:pPr>
              <w:jc w:val="center"/>
            </w:pPr>
            <w:sdt>
              <w:sdtPr>
                <w:tag w:val="goog_rdk_4"/>
                <w:id w:val="-1128288860"/>
              </w:sdtPr>
              <w:sdtContent>
                <w:r>
                  <w:rPr>
                    <w:rFonts w:ascii="Cardo" w:eastAsia="Cardo" w:hAnsi="Cardo" w:cs="Cardo"/>
                  </w:rPr>
                  <w:t>↓</w:t>
                </w:r>
              </w:sdtContent>
            </w:sdt>
          </w:p>
        </w:tc>
      </w:tr>
      <w:tr w:rsidR="002B0634" w14:paraId="2670A7FA" w14:textId="77777777">
        <w:trPr>
          <w:cantSplit/>
          <w:jc w:val="center"/>
        </w:trPr>
        <w:tc>
          <w:tcPr>
            <w:tcW w:w="7207" w:type="dxa"/>
            <w:gridSpan w:val="2"/>
            <w:vMerge/>
            <w:tcBorders>
              <w:top w:val="single" w:sz="4" w:space="0" w:color="000000"/>
            </w:tcBorders>
            <w:vAlign w:val="center"/>
          </w:tcPr>
          <w:p w14:paraId="11FAFCC0" w14:textId="77777777" w:rsidR="002B0634" w:rsidRDefault="002B0634">
            <w:pPr>
              <w:widowControl w:val="0"/>
              <w:pBdr>
                <w:top w:val="nil"/>
                <w:left w:val="nil"/>
                <w:bottom w:val="nil"/>
                <w:right w:val="nil"/>
                <w:between w:val="nil"/>
              </w:pBdr>
              <w:spacing w:line="276" w:lineRule="auto"/>
            </w:pPr>
          </w:p>
        </w:tc>
        <w:tc>
          <w:tcPr>
            <w:tcW w:w="272" w:type="dxa"/>
            <w:vMerge/>
            <w:vAlign w:val="center"/>
          </w:tcPr>
          <w:p w14:paraId="64BF00BA" w14:textId="77777777" w:rsidR="002B0634" w:rsidRDefault="002B0634">
            <w:pPr>
              <w:widowControl w:val="0"/>
              <w:pBdr>
                <w:top w:val="nil"/>
                <w:left w:val="nil"/>
                <w:bottom w:val="nil"/>
                <w:right w:val="nil"/>
                <w:between w:val="nil"/>
              </w:pBdr>
              <w:spacing w:line="276" w:lineRule="auto"/>
            </w:pPr>
          </w:p>
        </w:tc>
        <w:tc>
          <w:tcPr>
            <w:tcW w:w="6950" w:type="dxa"/>
            <w:gridSpan w:val="4"/>
            <w:tcBorders>
              <w:top w:val="single" w:sz="4" w:space="0" w:color="000000"/>
              <w:left w:val="single" w:sz="4" w:space="0" w:color="000000"/>
              <w:bottom w:val="single" w:sz="4" w:space="0" w:color="000000"/>
              <w:right w:val="single" w:sz="4" w:space="0" w:color="000000"/>
            </w:tcBorders>
            <w:vAlign w:val="center"/>
          </w:tcPr>
          <w:p w14:paraId="0E8BDB81" w14:textId="77777777" w:rsidR="002B0634" w:rsidRDefault="00000000">
            <w:pPr>
              <w:jc w:val="center"/>
            </w:pPr>
            <w:r>
              <w:t xml:space="preserve">Утворення </w:t>
            </w:r>
            <w:proofErr w:type="spellStart"/>
            <w:r>
              <w:t>супероксидного</w:t>
            </w:r>
            <w:proofErr w:type="spellEnd"/>
            <w:r>
              <w:t xml:space="preserve"> радикалу О</w:t>
            </w:r>
            <w:r>
              <w:rPr>
                <w:vertAlign w:val="subscript"/>
              </w:rPr>
              <w:t>2</w:t>
            </w:r>
            <w:r>
              <w:rPr>
                <w:vertAlign w:val="superscript"/>
              </w:rPr>
              <w:t>-</w:t>
            </w:r>
          </w:p>
        </w:tc>
      </w:tr>
      <w:tr w:rsidR="002B0634" w14:paraId="17FA2209" w14:textId="77777777">
        <w:trPr>
          <w:cantSplit/>
          <w:jc w:val="center"/>
        </w:trPr>
        <w:tc>
          <w:tcPr>
            <w:tcW w:w="7207" w:type="dxa"/>
            <w:gridSpan w:val="2"/>
            <w:vMerge/>
            <w:tcBorders>
              <w:top w:val="single" w:sz="4" w:space="0" w:color="000000"/>
            </w:tcBorders>
            <w:vAlign w:val="center"/>
          </w:tcPr>
          <w:p w14:paraId="4AE8D991" w14:textId="77777777" w:rsidR="002B0634" w:rsidRDefault="002B0634">
            <w:pPr>
              <w:widowControl w:val="0"/>
              <w:pBdr>
                <w:top w:val="nil"/>
                <w:left w:val="nil"/>
                <w:bottom w:val="nil"/>
                <w:right w:val="nil"/>
                <w:between w:val="nil"/>
              </w:pBdr>
              <w:spacing w:line="276" w:lineRule="auto"/>
            </w:pPr>
          </w:p>
        </w:tc>
        <w:tc>
          <w:tcPr>
            <w:tcW w:w="272" w:type="dxa"/>
            <w:vMerge/>
            <w:vAlign w:val="center"/>
          </w:tcPr>
          <w:p w14:paraId="61EF6EE8" w14:textId="77777777" w:rsidR="002B0634" w:rsidRDefault="002B0634">
            <w:pPr>
              <w:widowControl w:val="0"/>
              <w:pBdr>
                <w:top w:val="nil"/>
                <w:left w:val="nil"/>
                <w:bottom w:val="nil"/>
                <w:right w:val="nil"/>
                <w:between w:val="nil"/>
              </w:pBdr>
              <w:spacing w:line="276" w:lineRule="auto"/>
            </w:pPr>
          </w:p>
        </w:tc>
        <w:tc>
          <w:tcPr>
            <w:tcW w:w="4172" w:type="dxa"/>
            <w:tcBorders>
              <w:left w:val="nil"/>
              <w:bottom w:val="single" w:sz="4" w:space="0" w:color="000000"/>
            </w:tcBorders>
            <w:vAlign w:val="center"/>
          </w:tcPr>
          <w:p w14:paraId="397EB550" w14:textId="77777777" w:rsidR="002B0634" w:rsidRDefault="00000000">
            <w:pPr>
              <w:jc w:val="center"/>
            </w:pPr>
            <w:sdt>
              <w:sdtPr>
                <w:tag w:val="goog_rdk_5"/>
                <w:id w:val="-921241521"/>
              </w:sdtPr>
              <w:sdtContent>
                <w:r>
                  <w:rPr>
                    <w:rFonts w:ascii="Cardo" w:eastAsia="Cardo" w:hAnsi="Cardo" w:cs="Cardo"/>
                  </w:rPr>
                  <w:t>↓</w:t>
                </w:r>
              </w:sdtContent>
            </w:sdt>
          </w:p>
        </w:tc>
        <w:tc>
          <w:tcPr>
            <w:tcW w:w="236" w:type="dxa"/>
            <w:vAlign w:val="center"/>
          </w:tcPr>
          <w:p w14:paraId="4CFEA1A4" w14:textId="77777777" w:rsidR="002B0634" w:rsidRDefault="002B0634">
            <w:pPr>
              <w:jc w:val="center"/>
            </w:pPr>
          </w:p>
        </w:tc>
        <w:tc>
          <w:tcPr>
            <w:tcW w:w="2542" w:type="dxa"/>
            <w:gridSpan w:val="2"/>
            <w:tcBorders>
              <w:left w:val="nil"/>
              <w:bottom w:val="single" w:sz="4" w:space="0" w:color="000000"/>
            </w:tcBorders>
            <w:vAlign w:val="center"/>
          </w:tcPr>
          <w:p w14:paraId="5F8BF9C7" w14:textId="77777777" w:rsidR="002B0634" w:rsidRDefault="00000000">
            <w:pPr>
              <w:jc w:val="center"/>
            </w:pPr>
            <w:sdt>
              <w:sdtPr>
                <w:tag w:val="goog_rdk_6"/>
                <w:id w:val="1998045427"/>
              </w:sdtPr>
              <w:sdtContent>
                <w:r>
                  <w:rPr>
                    <w:rFonts w:ascii="Cardo" w:eastAsia="Cardo" w:hAnsi="Cardo" w:cs="Cardo"/>
                  </w:rPr>
                  <w:t>↓</w:t>
                </w:r>
              </w:sdtContent>
            </w:sdt>
          </w:p>
        </w:tc>
      </w:tr>
      <w:tr w:rsidR="002B0634" w14:paraId="3A6F2640" w14:textId="77777777">
        <w:trPr>
          <w:cantSplit/>
          <w:jc w:val="center"/>
        </w:trPr>
        <w:tc>
          <w:tcPr>
            <w:tcW w:w="7479" w:type="dxa"/>
            <w:gridSpan w:val="3"/>
            <w:tcBorders>
              <w:right w:val="single" w:sz="4" w:space="0" w:color="000000"/>
            </w:tcBorders>
            <w:vAlign w:val="center"/>
          </w:tcPr>
          <w:p w14:paraId="71F86578" w14:textId="77777777" w:rsidR="002B0634" w:rsidRDefault="002B0634">
            <w:pPr>
              <w:jc w:val="both"/>
            </w:pPr>
          </w:p>
        </w:tc>
        <w:tc>
          <w:tcPr>
            <w:tcW w:w="4172" w:type="dxa"/>
            <w:tcBorders>
              <w:top w:val="single" w:sz="4" w:space="0" w:color="000000"/>
              <w:left w:val="single" w:sz="4" w:space="0" w:color="000000"/>
              <w:bottom w:val="single" w:sz="4" w:space="0" w:color="000000"/>
              <w:right w:val="single" w:sz="4" w:space="0" w:color="000000"/>
            </w:tcBorders>
            <w:vAlign w:val="center"/>
          </w:tcPr>
          <w:p w14:paraId="6159A141" w14:textId="77777777" w:rsidR="002B0634" w:rsidRDefault="00000000">
            <w:pPr>
              <w:jc w:val="center"/>
            </w:pPr>
            <w:r>
              <w:t xml:space="preserve">Утворення </w:t>
            </w:r>
            <w:proofErr w:type="spellStart"/>
            <w:r>
              <w:t>простагландинів</w:t>
            </w:r>
            <w:proofErr w:type="spellEnd"/>
            <w:r>
              <w:t xml:space="preserve"> та </w:t>
            </w:r>
            <w:proofErr w:type="spellStart"/>
            <w:r>
              <w:t>тромбоксанів</w:t>
            </w:r>
            <w:proofErr w:type="spellEnd"/>
          </w:p>
        </w:tc>
        <w:tc>
          <w:tcPr>
            <w:tcW w:w="236" w:type="dxa"/>
            <w:tcBorders>
              <w:left w:val="single" w:sz="4" w:space="0" w:color="000000"/>
              <w:right w:val="single" w:sz="4" w:space="0" w:color="000000"/>
            </w:tcBorders>
            <w:vAlign w:val="center"/>
          </w:tcPr>
          <w:p w14:paraId="468C33C6" w14:textId="77777777" w:rsidR="002B0634" w:rsidRDefault="002B0634">
            <w:pPr>
              <w:jc w:val="center"/>
            </w:pPr>
          </w:p>
        </w:tc>
        <w:tc>
          <w:tcPr>
            <w:tcW w:w="2542" w:type="dxa"/>
            <w:gridSpan w:val="2"/>
            <w:tcBorders>
              <w:top w:val="single" w:sz="4" w:space="0" w:color="000000"/>
              <w:left w:val="single" w:sz="4" w:space="0" w:color="000000"/>
              <w:bottom w:val="single" w:sz="4" w:space="0" w:color="000000"/>
              <w:right w:val="single" w:sz="4" w:space="0" w:color="000000"/>
            </w:tcBorders>
            <w:vAlign w:val="center"/>
          </w:tcPr>
          <w:p w14:paraId="0BAB01C2" w14:textId="77777777" w:rsidR="002B0634" w:rsidRDefault="00000000">
            <w:pPr>
              <w:jc w:val="center"/>
            </w:pPr>
            <w:r>
              <w:t xml:space="preserve">Утворення </w:t>
            </w:r>
            <w:proofErr w:type="spellStart"/>
            <w:r>
              <w:t>лейкотрієнів</w:t>
            </w:r>
            <w:proofErr w:type="spellEnd"/>
          </w:p>
        </w:tc>
      </w:tr>
      <w:tr w:rsidR="002B0634" w14:paraId="3B5600C7" w14:textId="77777777">
        <w:trPr>
          <w:cantSplit/>
          <w:jc w:val="center"/>
        </w:trPr>
        <w:tc>
          <w:tcPr>
            <w:tcW w:w="7479" w:type="dxa"/>
            <w:gridSpan w:val="3"/>
            <w:vAlign w:val="center"/>
          </w:tcPr>
          <w:p w14:paraId="551B369F" w14:textId="77777777" w:rsidR="002B0634" w:rsidRDefault="002B0634">
            <w:pPr>
              <w:jc w:val="both"/>
            </w:pPr>
          </w:p>
        </w:tc>
        <w:tc>
          <w:tcPr>
            <w:tcW w:w="4172" w:type="dxa"/>
            <w:tcBorders>
              <w:top w:val="single" w:sz="4" w:space="0" w:color="000000"/>
            </w:tcBorders>
            <w:vAlign w:val="center"/>
          </w:tcPr>
          <w:p w14:paraId="100B55A5" w14:textId="77777777" w:rsidR="002B0634" w:rsidRDefault="00000000">
            <w:pPr>
              <w:jc w:val="center"/>
            </w:pPr>
            <w:sdt>
              <w:sdtPr>
                <w:tag w:val="goog_rdk_7"/>
                <w:id w:val="2006137800"/>
              </w:sdtPr>
              <w:sdtContent>
                <w:r>
                  <w:rPr>
                    <w:rFonts w:ascii="Cardo" w:eastAsia="Cardo" w:hAnsi="Cardo" w:cs="Cardo"/>
                  </w:rPr>
                  <w:t>↓</w:t>
                </w:r>
              </w:sdtContent>
            </w:sdt>
          </w:p>
        </w:tc>
        <w:tc>
          <w:tcPr>
            <w:tcW w:w="236" w:type="dxa"/>
            <w:vAlign w:val="center"/>
          </w:tcPr>
          <w:p w14:paraId="1DE1534A" w14:textId="77777777" w:rsidR="002B0634" w:rsidRDefault="002B0634">
            <w:pPr>
              <w:jc w:val="center"/>
            </w:pPr>
          </w:p>
        </w:tc>
        <w:tc>
          <w:tcPr>
            <w:tcW w:w="2542" w:type="dxa"/>
            <w:gridSpan w:val="2"/>
            <w:tcBorders>
              <w:top w:val="single" w:sz="4" w:space="0" w:color="000000"/>
              <w:left w:val="nil"/>
            </w:tcBorders>
            <w:vAlign w:val="center"/>
          </w:tcPr>
          <w:p w14:paraId="68450822" w14:textId="77777777" w:rsidR="002B0634" w:rsidRDefault="00000000">
            <w:pPr>
              <w:jc w:val="center"/>
            </w:pPr>
            <w:sdt>
              <w:sdtPr>
                <w:tag w:val="goog_rdk_8"/>
                <w:id w:val="990105470"/>
              </w:sdtPr>
              <w:sdtContent>
                <w:r>
                  <w:rPr>
                    <w:rFonts w:ascii="Cardo" w:eastAsia="Cardo" w:hAnsi="Cardo" w:cs="Cardo"/>
                  </w:rPr>
                  <w:t>↓</w:t>
                </w:r>
              </w:sdtContent>
            </w:sdt>
          </w:p>
        </w:tc>
      </w:tr>
      <w:tr w:rsidR="002B0634" w14:paraId="285911D3" w14:textId="77777777">
        <w:trPr>
          <w:cantSplit/>
          <w:jc w:val="center"/>
        </w:trPr>
        <w:tc>
          <w:tcPr>
            <w:tcW w:w="7479" w:type="dxa"/>
            <w:gridSpan w:val="3"/>
            <w:tcBorders>
              <w:right w:val="single" w:sz="4" w:space="0" w:color="000000"/>
            </w:tcBorders>
            <w:vAlign w:val="center"/>
          </w:tcPr>
          <w:p w14:paraId="6D68B8DE" w14:textId="77777777" w:rsidR="002B0634" w:rsidRDefault="00000000">
            <w:pPr>
              <w:jc w:val="both"/>
            </w:pPr>
            <w:r>
              <w:rPr>
                <w:noProof/>
              </w:rPr>
              <mc:AlternateContent>
                <mc:Choice Requires="wpg">
                  <w:drawing>
                    <wp:anchor distT="0" distB="0" distL="114300" distR="114300" simplePos="0" relativeHeight="251659264" behindDoc="0" locked="0" layoutInCell="1" hidden="0" allowOverlap="1" wp14:anchorId="41DA77AF" wp14:editId="752E4E1C">
                      <wp:simplePos x="0" y="0"/>
                      <wp:positionH relativeFrom="column">
                        <wp:posOffset>2674303</wp:posOffset>
                      </wp:positionH>
                      <wp:positionV relativeFrom="paragraph">
                        <wp:posOffset>223203</wp:posOffset>
                      </wp:positionV>
                      <wp:extent cx="2005965" cy="447040"/>
                      <wp:effectExtent l="0" t="0" r="0" b="0"/>
                      <wp:wrapNone/>
                      <wp:docPr id="6" name="Пряма зі стрілкою 6"/>
                      <wp:cNvGraphicFramePr/>
                      <a:graphic xmlns:a="http://schemas.openxmlformats.org/drawingml/2006/main">
                        <a:graphicData uri="http://schemas.microsoft.com/office/word/2010/wordprocessingShape">
                          <wps:wsp>
                            <wps:cNvCnPr/>
                            <wps:spPr>
                              <a:xfrm flipH="1">
                                <a:off x="4347780" y="3561243"/>
                                <a:ext cx="1996440" cy="43751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2674303</wp:posOffset>
                      </wp:positionH>
                      <wp:positionV relativeFrom="paragraph">
                        <wp:posOffset>223203</wp:posOffset>
                      </wp:positionV>
                      <wp:extent cx="2005965" cy="447040"/>
                      <wp:effectExtent b="0" l="0" r="0" t="0"/>
                      <wp:wrapNone/>
                      <wp:docPr id="6"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005965" cy="447040"/>
                              </a:xfrm>
                              <a:prstGeom prst="rect"/>
                              <a:ln/>
                            </pic:spPr>
                          </pic:pic>
                        </a:graphicData>
                      </a:graphic>
                    </wp:anchor>
                  </w:drawing>
                </mc:Fallback>
              </mc:AlternateContent>
            </w:r>
          </w:p>
        </w:tc>
        <w:tc>
          <w:tcPr>
            <w:tcW w:w="4172" w:type="dxa"/>
            <w:tcBorders>
              <w:top w:val="single" w:sz="4" w:space="0" w:color="000000"/>
              <w:left w:val="single" w:sz="4" w:space="0" w:color="000000"/>
              <w:bottom w:val="single" w:sz="4" w:space="0" w:color="000000"/>
              <w:right w:val="single" w:sz="4" w:space="0" w:color="000000"/>
            </w:tcBorders>
            <w:vAlign w:val="center"/>
          </w:tcPr>
          <w:p w14:paraId="65891009" w14:textId="77777777" w:rsidR="002B0634" w:rsidRDefault="00000000">
            <w:pPr>
              <w:jc w:val="both"/>
            </w:pPr>
            <w:r>
              <w:t>Зміни в судинах:</w:t>
            </w:r>
          </w:p>
          <w:p w14:paraId="56391EFB" w14:textId="77777777" w:rsidR="002B0634" w:rsidRDefault="00000000">
            <w:pPr>
              <w:jc w:val="both"/>
            </w:pPr>
            <w:r>
              <w:t xml:space="preserve">1 фаза: </w:t>
            </w:r>
            <w:proofErr w:type="spellStart"/>
            <w:r>
              <w:t>ділятація</w:t>
            </w:r>
            <w:proofErr w:type="spellEnd"/>
            <w:r>
              <w:t xml:space="preserve">, </w:t>
            </w:r>
            <w:proofErr w:type="spellStart"/>
            <w:r>
              <w:t>гіпероксія</w:t>
            </w:r>
            <w:proofErr w:type="spellEnd"/>
          </w:p>
          <w:p w14:paraId="68666ABB" w14:textId="77777777" w:rsidR="002B0634" w:rsidRDefault="00000000">
            <w:pPr>
              <w:jc w:val="both"/>
            </w:pPr>
            <w:r>
              <w:t>2 фаза: спазм, гіпоксія</w:t>
            </w:r>
          </w:p>
        </w:tc>
        <w:tc>
          <w:tcPr>
            <w:tcW w:w="236" w:type="dxa"/>
            <w:tcBorders>
              <w:left w:val="single" w:sz="4" w:space="0" w:color="000000"/>
              <w:right w:val="single" w:sz="4" w:space="0" w:color="000000"/>
            </w:tcBorders>
            <w:vAlign w:val="center"/>
          </w:tcPr>
          <w:p w14:paraId="3C19892F" w14:textId="77777777" w:rsidR="002B0634" w:rsidRDefault="002B0634">
            <w:pPr>
              <w:jc w:val="both"/>
            </w:pPr>
          </w:p>
        </w:tc>
        <w:tc>
          <w:tcPr>
            <w:tcW w:w="2542" w:type="dxa"/>
            <w:gridSpan w:val="2"/>
            <w:tcBorders>
              <w:top w:val="single" w:sz="4" w:space="0" w:color="000000"/>
              <w:left w:val="single" w:sz="4" w:space="0" w:color="000000"/>
              <w:bottom w:val="single" w:sz="4" w:space="0" w:color="000000"/>
              <w:right w:val="single" w:sz="4" w:space="0" w:color="000000"/>
            </w:tcBorders>
            <w:vAlign w:val="center"/>
          </w:tcPr>
          <w:p w14:paraId="3AB0B694" w14:textId="77777777" w:rsidR="002B0634" w:rsidRDefault="00000000">
            <w:pPr>
              <w:jc w:val="both"/>
            </w:pPr>
            <w:r>
              <w:t>Імунологічні порушення</w:t>
            </w:r>
          </w:p>
        </w:tc>
      </w:tr>
      <w:tr w:rsidR="002B0634" w14:paraId="5EAD0417" w14:textId="77777777">
        <w:trPr>
          <w:cantSplit/>
          <w:jc w:val="center"/>
        </w:trPr>
        <w:tc>
          <w:tcPr>
            <w:tcW w:w="7479" w:type="dxa"/>
            <w:gridSpan w:val="3"/>
            <w:tcBorders>
              <w:bottom w:val="single" w:sz="4" w:space="0" w:color="000000"/>
            </w:tcBorders>
            <w:vAlign w:val="center"/>
          </w:tcPr>
          <w:p w14:paraId="7C0D9F1E" w14:textId="77777777" w:rsidR="002B0634" w:rsidRDefault="002B0634">
            <w:pPr>
              <w:jc w:val="both"/>
            </w:pPr>
          </w:p>
        </w:tc>
        <w:tc>
          <w:tcPr>
            <w:tcW w:w="4172" w:type="dxa"/>
            <w:tcBorders>
              <w:top w:val="single" w:sz="4" w:space="0" w:color="000000"/>
            </w:tcBorders>
            <w:vAlign w:val="center"/>
          </w:tcPr>
          <w:p w14:paraId="319E4F70" w14:textId="77777777" w:rsidR="002B0634" w:rsidRDefault="00000000">
            <w:pPr>
              <w:jc w:val="center"/>
            </w:pPr>
            <w:r>
              <w:rPr>
                <w:noProof/>
              </w:rPr>
              <mc:AlternateContent>
                <mc:Choice Requires="wpg">
                  <w:drawing>
                    <wp:anchor distT="0" distB="0" distL="114300" distR="114300" simplePos="0" relativeHeight="251660288" behindDoc="0" locked="0" layoutInCell="1" hidden="0" allowOverlap="1" wp14:anchorId="0C778AB3" wp14:editId="6110B8B0">
                      <wp:simplePos x="0" y="0"/>
                      <wp:positionH relativeFrom="column">
                        <wp:posOffset>2038033</wp:posOffset>
                      </wp:positionH>
                      <wp:positionV relativeFrom="paragraph">
                        <wp:posOffset>-7936</wp:posOffset>
                      </wp:positionV>
                      <wp:extent cx="1103630" cy="721360"/>
                      <wp:effectExtent l="0" t="0" r="0" b="0"/>
                      <wp:wrapNone/>
                      <wp:docPr id="9" name="Пряма зі стрілкою 9"/>
                      <wp:cNvGraphicFramePr/>
                      <a:graphic xmlns:a="http://schemas.openxmlformats.org/drawingml/2006/main">
                        <a:graphicData uri="http://schemas.microsoft.com/office/word/2010/wordprocessingShape">
                          <wps:wsp>
                            <wps:cNvCnPr/>
                            <wps:spPr>
                              <a:xfrm flipH="1">
                                <a:off x="4798948" y="3424083"/>
                                <a:ext cx="1094105" cy="71183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2038033</wp:posOffset>
                      </wp:positionH>
                      <wp:positionV relativeFrom="paragraph">
                        <wp:posOffset>-7936</wp:posOffset>
                      </wp:positionV>
                      <wp:extent cx="1103630" cy="721360"/>
                      <wp:effectExtent b="0" l="0" r="0" t="0"/>
                      <wp:wrapNone/>
                      <wp:docPr id="9"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103630" cy="72136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598A1299" wp14:editId="20F86F8B">
                      <wp:simplePos x="0" y="0"/>
                      <wp:positionH relativeFrom="column">
                        <wp:posOffset>1125538</wp:posOffset>
                      </wp:positionH>
                      <wp:positionV relativeFrom="paragraph">
                        <wp:posOffset>7303</wp:posOffset>
                      </wp:positionV>
                      <wp:extent cx="370840" cy="702310"/>
                      <wp:effectExtent l="0" t="0" r="0" b="0"/>
                      <wp:wrapNone/>
                      <wp:docPr id="8" name="Пряма зі стрілкою 8"/>
                      <wp:cNvGraphicFramePr/>
                      <a:graphic xmlns:a="http://schemas.openxmlformats.org/drawingml/2006/main">
                        <a:graphicData uri="http://schemas.microsoft.com/office/word/2010/wordprocessingShape">
                          <wps:wsp>
                            <wps:cNvCnPr/>
                            <wps:spPr>
                              <a:xfrm flipH="1">
                                <a:off x="5165343" y="3433608"/>
                                <a:ext cx="361315" cy="692785"/>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1125538</wp:posOffset>
                      </wp:positionH>
                      <wp:positionV relativeFrom="paragraph">
                        <wp:posOffset>7303</wp:posOffset>
                      </wp:positionV>
                      <wp:extent cx="370840" cy="702310"/>
                      <wp:effectExtent b="0" l="0" r="0" t="0"/>
                      <wp:wrapNone/>
                      <wp:docPr id="8"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370840" cy="702310"/>
                              </a:xfrm>
                              <a:prstGeom prst="rect"/>
                              <a:ln/>
                            </pic:spPr>
                          </pic:pic>
                        </a:graphicData>
                      </a:graphic>
                    </wp:anchor>
                  </w:drawing>
                </mc:Fallback>
              </mc:AlternateContent>
            </w:r>
          </w:p>
        </w:tc>
        <w:tc>
          <w:tcPr>
            <w:tcW w:w="236" w:type="dxa"/>
            <w:vAlign w:val="center"/>
          </w:tcPr>
          <w:p w14:paraId="215A5A2D" w14:textId="77777777" w:rsidR="002B0634" w:rsidRDefault="002B0634">
            <w:pPr>
              <w:jc w:val="center"/>
            </w:pPr>
          </w:p>
        </w:tc>
        <w:tc>
          <w:tcPr>
            <w:tcW w:w="2542" w:type="dxa"/>
            <w:gridSpan w:val="2"/>
            <w:tcBorders>
              <w:left w:val="nil"/>
            </w:tcBorders>
            <w:vAlign w:val="center"/>
          </w:tcPr>
          <w:p w14:paraId="224225B3" w14:textId="77777777" w:rsidR="002B0634" w:rsidRDefault="002B0634">
            <w:pPr>
              <w:jc w:val="both"/>
            </w:pPr>
          </w:p>
        </w:tc>
      </w:tr>
      <w:tr w:rsidR="002B0634" w14:paraId="254C9C02" w14:textId="77777777">
        <w:trPr>
          <w:cantSplit/>
          <w:jc w:val="center"/>
        </w:trPr>
        <w:tc>
          <w:tcPr>
            <w:tcW w:w="7479" w:type="dxa"/>
            <w:gridSpan w:val="3"/>
            <w:tcBorders>
              <w:top w:val="single" w:sz="4" w:space="0" w:color="000000"/>
              <w:left w:val="single" w:sz="4" w:space="0" w:color="000000"/>
              <w:bottom w:val="single" w:sz="4" w:space="0" w:color="000000"/>
              <w:right w:val="single" w:sz="4" w:space="0" w:color="000000"/>
            </w:tcBorders>
            <w:vAlign w:val="center"/>
          </w:tcPr>
          <w:p w14:paraId="2E82CBCF" w14:textId="77777777" w:rsidR="002B0634" w:rsidRDefault="00000000">
            <w:pPr>
              <w:jc w:val="both"/>
            </w:pPr>
            <w:r>
              <w:t xml:space="preserve">Активація неферментативного </w:t>
            </w:r>
            <w:proofErr w:type="spellStart"/>
            <w:r>
              <w:t>вільнорадикального</w:t>
            </w:r>
            <w:proofErr w:type="spellEnd"/>
            <w:r>
              <w:t xml:space="preserve"> окислення у твердих тканинах пародонту</w:t>
            </w:r>
          </w:p>
        </w:tc>
        <w:tc>
          <w:tcPr>
            <w:tcW w:w="4408" w:type="dxa"/>
            <w:gridSpan w:val="2"/>
            <w:tcBorders>
              <w:left w:val="single" w:sz="4" w:space="0" w:color="000000"/>
            </w:tcBorders>
            <w:vAlign w:val="center"/>
          </w:tcPr>
          <w:p w14:paraId="6AD19BCA" w14:textId="77777777" w:rsidR="002B0634" w:rsidRDefault="002B0634">
            <w:pPr>
              <w:jc w:val="center"/>
            </w:pPr>
          </w:p>
        </w:tc>
        <w:tc>
          <w:tcPr>
            <w:tcW w:w="2542" w:type="dxa"/>
            <w:gridSpan w:val="2"/>
            <w:tcBorders>
              <w:left w:val="nil"/>
            </w:tcBorders>
            <w:vAlign w:val="center"/>
          </w:tcPr>
          <w:p w14:paraId="06527B30" w14:textId="77777777" w:rsidR="002B0634" w:rsidRDefault="002B0634">
            <w:pPr>
              <w:jc w:val="both"/>
            </w:pPr>
          </w:p>
        </w:tc>
      </w:tr>
      <w:tr w:rsidR="002B0634" w14:paraId="11771297" w14:textId="77777777">
        <w:trPr>
          <w:cantSplit/>
          <w:jc w:val="center"/>
        </w:trPr>
        <w:tc>
          <w:tcPr>
            <w:tcW w:w="7479" w:type="dxa"/>
            <w:gridSpan w:val="3"/>
            <w:tcBorders>
              <w:top w:val="single" w:sz="4" w:space="0" w:color="000000"/>
            </w:tcBorders>
            <w:vAlign w:val="center"/>
          </w:tcPr>
          <w:p w14:paraId="0709BBB7" w14:textId="77777777" w:rsidR="002B0634" w:rsidRDefault="00000000">
            <w:pPr>
              <w:jc w:val="center"/>
            </w:pPr>
            <w:sdt>
              <w:sdtPr>
                <w:tag w:val="goog_rdk_9"/>
                <w:id w:val="9257160"/>
              </w:sdtPr>
              <w:sdtContent>
                <w:r>
                  <w:rPr>
                    <w:rFonts w:ascii="Cardo" w:eastAsia="Cardo" w:hAnsi="Cardo" w:cs="Cardo"/>
                  </w:rPr>
                  <w:t xml:space="preserve">                                  ↓</w:t>
                </w:r>
              </w:sdtContent>
            </w:sdt>
          </w:p>
        </w:tc>
        <w:tc>
          <w:tcPr>
            <w:tcW w:w="4408" w:type="dxa"/>
            <w:gridSpan w:val="2"/>
            <w:vAlign w:val="center"/>
          </w:tcPr>
          <w:p w14:paraId="1B731DCB" w14:textId="77777777" w:rsidR="002B0634" w:rsidRDefault="002B0634">
            <w:pPr>
              <w:jc w:val="center"/>
            </w:pPr>
          </w:p>
        </w:tc>
        <w:tc>
          <w:tcPr>
            <w:tcW w:w="2542" w:type="dxa"/>
            <w:gridSpan w:val="2"/>
            <w:vAlign w:val="center"/>
          </w:tcPr>
          <w:p w14:paraId="2A4AC512" w14:textId="77777777" w:rsidR="002B0634" w:rsidRDefault="002B0634">
            <w:pPr>
              <w:jc w:val="both"/>
            </w:pPr>
          </w:p>
        </w:tc>
      </w:tr>
      <w:tr w:rsidR="002B0634" w14:paraId="098C2CC2" w14:textId="77777777">
        <w:trPr>
          <w:cantSplit/>
          <w:trHeight w:val="501"/>
          <w:jc w:val="center"/>
        </w:trPr>
        <w:tc>
          <w:tcPr>
            <w:tcW w:w="3067" w:type="dxa"/>
            <w:tcBorders>
              <w:right w:val="single" w:sz="4" w:space="0" w:color="000000"/>
            </w:tcBorders>
            <w:vAlign w:val="center"/>
          </w:tcPr>
          <w:p w14:paraId="2010F689" w14:textId="77777777" w:rsidR="002B0634" w:rsidRDefault="002B0634">
            <w:pPr>
              <w:jc w:val="center"/>
            </w:pPr>
          </w:p>
        </w:tc>
        <w:tc>
          <w:tcPr>
            <w:tcW w:w="9900" w:type="dxa"/>
            <w:gridSpan w:val="5"/>
            <w:tcBorders>
              <w:top w:val="single" w:sz="4" w:space="0" w:color="000000"/>
              <w:left w:val="single" w:sz="4" w:space="0" w:color="000000"/>
              <w:bottom w:val="single" w:sz="4" w:space="0" w:color="000000"/>
              <w:right w:val="single" w:sz="4" w:space="0" w:color="000000"/>
            </w:tcBorders>
            <w:vAlign w:val="center"/>
          </w:tcPr>
          <w:p w14:paraId="45CEAAC7" w14:textId="77777777" w:rsidR="002B0634" w:rsidRDefault="00000000">
            <w:pPr>
              <w:jc w:val="center"/>
            </w:pPr>
            <w:r>
              <w:t xml:space="preserve">Активація </w:t>
            </w:r>
            <w:proofErr w:type="spellStart"/>
            <w:r>
              <w:t>остеокластів</w:t>
            </w:r>
            <w:proofErr w:type="spellEnd"/>
            <w:r>
              <w:t>, резорбція кісткової тканини, деструкція колагенових волокон</w:t>
            </w:r>
          </w:p>
        </w:tc>
        <w:tc>
          <w:tcPr>
            <w:tcW w:w="1462" w:type="dxa"/>
            <w:tcBorders>
              <w:left w:val="single" w:sz="4" w:space="0" w:color="000000"/>
            </w:tcBorders>
            <w:vAlign w:val="center"/>
          </w:tcPr>
          <w:p w14:paraId="247A794C" w14:textId="77777777" w:rsidR="002B0634" w:rsidRDefault="002B0634">
            <w:pPr>
              <w:jc w:val="center"/>
            </w:pPr>
          </w:p>
        </w:tc>
      </w:tr>
    </w:tbl>
    <w:p w14:paraId="619DC147" w14:textId="77777777" w:rsidR="002B0634" w:rsidRDefault="002B0634">
      <w:pPr>
        <w:ind w:firstLine="900"/>
        <w:jc w:val="both"/>
      </w:pPr>
    </w:p>
    <w:p w14:paraId="7C0CA079" w14:textId="77777777" w:rsidR="002B0634" w:rsidRDefault="002B0634"/>
    <w:sectPr w:rsidR="002B0634">
      <w:pgSz w:w="16838" w:h="11906" w:orient="landscape"/>
      <w:pgMar w:top="1247" w:right="851" w:bottom="737" w:left="85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3279214E-5C78-405A-A215-F56E763DC4AF}"/>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81E00119-9F79-488B-88D6-B9AEE2B91D56}"/>
  </w:font>
  <w:font w:name="Georgia">
    <w:panose1 w:val="02040502050405020303"/>
    <w:charset w:val="00"/>
    <w:family w:val="auto"/>
    <w:pitch w:val="default"/>
    <w:embedRegular r:id="rId3" w:fontKey="{7EC401F0-653E-4ABF-ADBB-0812BD43DFB0}"/>
    <w:embedItalic r:id="rId4" w:fontKey="{364FD843-4809-404B-83E1-D6CF0E77D60C}"/>
  </w:font>
  <w:font w:name="Cardo">
    <w:charset w:val="00"/>
    <w:family w:val="auto"/>
    <w:pitch w:val="default"/>
    <w:embedRegular r:id="rId5" w:fontKey="{87392F92-0FFC-478A-8788-8AC28C2DC0E1}"/>
  </w:font>
  <w:font w:name="Cambria">
    <w:panose1 w:val="02040503050406030204"/>
    <w:charset w:val="CC"/>
    <w:family w:val="roman"/>
    <w:pitch w:val="variable"/>
    <w:sig w:usb0="E00006FF" w:usb1="420024FF" w:usb2="02000000" w:usb3="00000000" w:csb0="0000019F" w:csb1="00000000"/>
    <w:embedRegular r:id="rId6" w:fontKey="{59014949-38C4-4AF5-ACD8-CD56D3CA4092}"/>
  </w:font>
  <w:font w:name="Calibri">
    <w:panose1 w:val="020F0502020204030204"/>
    <w:charset w:val="CC"/>
    <w:family w:val="swiss"/>
    <w:pitch w:val="variable"/>
    <w:sig w:usb0="E4002EFF" w:usb1="C200247B" w:usb2="00000009" w:usb3="00000000" w:csb0="000001FF" w:csb1="00000000"/>
    <w:embedRegular r:id="rId7" w:fontKey="{31DC277D-58BD-4B49-9298-CAE368110B9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073D"/>
    <w:multiLevelType w:val="multilevel"/>
    <w:tmpl w:val="AE56AE7E"/>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1" w15:restartNumberingAfterBreak="0">
    <w:nsid w:val="0A65077A"/>
    <w:multiLevelType w:val="multilevel"/>
    <w:tmpl w:val="F01C09A4"/>
    <w:lvl w:ilvl="0">
      <w:start w:val="1"/>
      <w:numFmt w:val="bullet"/>
      <w:lvlText w:val="−"/>
      <w:lvlJc w:val="left"/>
      <w:pPr>
        <w:ind w:left="1251" w:hanging="283"/>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2" w15:restartNumberingAfterBreak="0">
    <w:nsid w:val="242D024E"/>
    <w:multiLevelType w:val="multilevel"/>
    <w:tmpl w:val="116E0A1C"/>
    <w:lvl w:ilvl="0">
      <w:start w:val="1"/>
      <w:numFmt w:val="bullet"/>
      <w:lvlText w:val="▪"/>
      <w:lvlJc w:val="left"/>
      <w:pPr>
        <w:ind w:left="1328" w:hanging="359"/>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3" w15:restartNumberingAfterBreak="0">
    <w:nsid w:val="32EA74DA"/>
    <w:multiLevelType w:val="multilevel"/>
    <w:tmpl w:val="4106F4C0"/>
    <w:lvl w:ilvl="0">
      <w:start w:val="1"/>
      <w:numFmt w:val="bullet"/>
      <w:lvlText w:val="−"/>
      <w:lvlJc w:val="left"/>
      <w:pPr>
        <w:ind w:left="643" w:hanging="283"/>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2D77EB"/>
    <w:multiLevelType w:val="multilevel"/>
    <w:tmpl w:val="7FD8E6C6"/>
    <w:lvl w:ilvl="0">
      <w:start w:val="1"/>
      <w:numFmt w:val="bullet"/>
      <w:lvlText w:val="−"/>
      <w:lvlJc w:val="left"/>
      <w:pPr>
        <w:ind w:left="711" w:hanging="283"/>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40B10825"/>
    <w:multiLevelType w:val="multilevel"/>
    <w:tmpl w:val="4CB66920"/>
    <w:lvl w:ilvl="0">
      <w:start w:val="1"/>
      <w:numFmt w:val="bullet"/>
      <w:lvlText w:val="−"/>
      <w:lvlJc w:val="left"/>
      <w:pPr>
        <w:ind w:left="1251" w:hanging="283"/>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6" w15:restartNumberingAfterBreak="0">
    <w:nsid w:val="440D5EF9"/>
    <w:multiLevelType w:val="multilevel"/>
    <w:tmpl w:val="A1104F90"/>
    <w:lvl w:ilvl="0">
      <w:start w:val="1"/>
      <w:numFmt w:val="bullet"/>
      <w:lvlText w:val="−"/>
      <w:lvlJc w:val="left"/>
      <w:pPr>
        <w:ind w:left="891" w:hanging="283"/>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7" w15:restartNumberingAfterBreak="0">
    <w:nsid w:val="4BBC1F50"/>
    <w:multiLevelType w:val="multilevel"/>
    <w:tmpl w:val="F14C8C32"/>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892A6F"/>
    <w:multiLevelType w:val="multilevel"/>
    <w:tmpl w:val="2E1C67D2"/>
    <w:lvl w:ilvl="0">
      <w:start w:val="1"/>
      <w:numFmt w:val="bullet"/>
      <w:lvlText w:val="−"/>
      <w:lvlJc w:val="left"/>
      <w:pPr>
        <w:ind w:left="891" w:hanging="283"/>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9" w15:restartNumberingAfterBreak="0">
    <w:nsid w:val="5DA2530E"/>
    <w:multiLevelType w:val="multilevel"/>
    <w:tmpl w:val="0E1ED50A"/>
    <w:lvl w:ilvl="0">
      <w:start w:val="1"/>
      <w:numFmt w:val="bullet"/>
      <w:lvlText w:val="−"/>
      <w:lvlJc w:val="left"/>
      <w:pPr>
        <w:ind w:left="711" w:hanging="283"/>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63272CEA"/>
    <w:multiLevelType w:val="multilevel"/>
    <w:tmpl w:val="90DCD546"/>
    <w:lvl w:ilvl="0">
      <w:start w:val="1"/>
      <w:numFmt w:val="bullet"/>
      <w:lvlText w:val="−"/>
      <w:lvlJc w:val="left"/>
      <w:pPr>
        <w:ind w:left="1251" w:hanging="283"/>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11" w15:restartNumberingAfterBreak="0">
    <w:nsid w:val="6C0131CD"/>
    <w:multiLevelType w:val="multilevel"/>
    <w:tmpl w:val="7CFC6110"/>
    <w:lvl w:ilvl="0">
      <w:start w:val="1"/>
      <w:numFmt w:val="bullet"/>
      <w:lvlText w:val="−"/>
      <w:lvlJc w:val="left"/>
      <w:pPr>
        <w:ind w:left="891" w:hanging="283"/>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num w:numId="1" w16cid:durableId="738401279">
    <w:abstractNumId w:val="7"/>
  </w:num>
  <w:num w:numId="2" w16cid:durableId="1588078380">
    <w:abstractNumId w:val="3"/>
  </w:num>
  <w:num w:numId="3" w16cid:durableId="1113091753">
    <w:abstractNumId w:val="4"/>
  </w:num>
  <w:num w:numId="4" w16cid:durableId="1012879411">
    <w:abstractNumId w:val="6"/>
  </w:num>
  <w:num w:numId="5" w16cid:durableId="2011133987">
    <w:abstractNumId w:val="9"/>
  </w:num>
  <w:num w:numId="6" w16cid:durableId="483089807">
    <w:abstractNumId w:val="11"/>
  </w:num>
  <w:num w:numId="7" w16cid:durableId="146866679">
    <w:abstractNumId w:val="10"/>
  </w:num>
  <w:num w:numId="8" w16cid:durableId="1294019535">
    <w:abstractNumId w:val="8"/>
  </w:num>
  <w:num w:numId="9" w16cid:durableId="1836410812">
    <w:abstractNumId w:val="1"/>
  </w:num>
  <w:num w:numId="10" w16cid:durableId="1642494686">
    <w:abstractNumId w:val="5"/>
  </w:num>
  <w:num w:numId="11" w16cid:durableId="2100591991">
    <w:abstractNumId w:val="2"/>
  </w:num>
  <w:num w:numId="12" w16cid:durableId="1144859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634"/>
    <w:rsid w:val="002B0634"/>
    <w:rsid w:val="003742CA"/>
    <w:rsid w:val="005579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D244C"/>
  <w15:docId w15:val="{3691AE14-7302-42FB-9A2E-8B84CE65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jc w:val="center"/>
      <w:outlineLvl w:val="2"/>
    </w:pPr>
    <w:rPr>
      <w:i/>
      <w:sz w:val="20"/>
      <w:szCs w:val="20"/>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30">
    <w:name w:val="Заголовок 3 Знак"/>
    <w:basedOn w:val="a0"/>
    <w:rsid w:val="008F27B4"/>
    <w:rPr>
      <w:rFonts w:eastAsia="Times New Roman" w:cs="Times New Roman"/>
      <w:i/>
      <w:iCs/>
      <w:sz w:val="20"/>
      <w:szCs w:val="20"/>
      <w:lang w:eastAsia="ru-RU"/>
    </w:rPr>
  </w:style>
  <w:style w:type="paragraph" w:styleId="a4">
    <w:name w:val="Balloon Text"/>
    <w:link w:val="a5"/>
    <w:uiPriority w:val="99"/>
    <w:semiHidden/>
    <w:unhideWhenUsed/>
    <w:rsid w:val="00841E73"/>
    <w:rPr>
      <w:rFonts w:ascii="Tahoma" w:hAnsi="Tahoma" w:cs="Tahoma"/>
      <w:sz w:val="16"/>
      <w:szCs w:val="16"/>
    </w:rPr>
  </w:style>
  <w:style w:type="character" w:customStyle="1" w:styleId="a5">
    <w:name w:val="Текст у виносці Знак"/>
    <w:basedOn w:val="a0"/>
    <w:link w:val="a4"/>
    <w:uiPriority w:val="99"/>
    <w:semiHidden/>
    <w:rsid w:val="00841E73"/>
    <w:rPr>
      <w:rFonts w:ascii="Tahoma" w:eastAsia="Times New Roman" w:hAnsi="Tahoma" w:cs="Tahoma"/>
      <w:sz w:val="16"/>
      <w:szCs w:val="16"/>
      <w:lang w:eastAsia="ru-RU"/>
    </w:rPr>
  </w:style>
  <w:style w:type="character" w:styleId="a6">
    <w:name w:val="Hyperlink"/>
    <w:basedOn w:val="a0"/>
    <w:uiPriority w:val="99"/>
    <w:unhideWhenUsed/>
    <w:rsid w:val="00373FD9"/>
    <w:rPr>
      <w:color w:val="0000FF" w:themeColor="hyperlink"/>
      <w:u w:val="single"/>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s4N5F5MxQTr1QDUb6K5BQf4lhQ==">CgMxLjAaEgoBMBINCgsIB0IHEgVDYXJkbxoSCgExEg0KCwgHQgcSBUNhcmRvGhIKATISDQoLCAdCBxIFQ2FyZG8aEgoBMxINCgsIB0IHEgVDYXJkbxoSCgE0Eg0KCwgHQgcSBUNhcmRvGhIKATUSDQoLCAdCBxIFQ2FyZG8aEgoBNhINCgsIB0IHEgVDYXJkbxoSCgE3Eg0KCwgHQgcSBUNhcmRvGhIKATgSDQoLCAdCBxIFQ2FyZG8aEgoBORINCgsIB0IHEgVDYXJkbzIOaC5jdjAxcGxpNHM5MzY4AHIhMW01NWd5VjBsMFpuV0NaOTFRcFJsNjVmcno3RnpRc1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13822</Words>
  <Characters>7880</Characters>
  <Application>Microsoft Office Word</Application>
  <DocSecurity>0</DocSecurity>
  <Lines>65</Lines>
  <Paragraphs>43</Paragraphs>
  <ScaleCrop>false</ScaleCrop>
  <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2025-09-25T12:20:00Z</dcterms:created>
  <dcterms:modified xsi:type="dcterms:W3CDTF">2025-09-25T12:20:00Z</dcterms:modified>
</cp:coreProperties>
</file>