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0D8C9" w14:textId="77777777" w:rsidR="00F534E8" w:rsidRDefault="00000000">
      <w:p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МІНІСТЕРСТВО ОХОРОНИ ЗДОРОВ'Я УКРАЇНИ</w:t>
      </w:r>
      <w:r>
        <w:rPr>
          <w:color w:val="000000"/>
          <w:sz w:val="28"/>
          <w:szCs w:val="28"/>
        </w:rPr>
        <w:br/>
        <w:t xml:space="preserve">ВІННИЦЬКИЙ НАЦІОНАЛЬНИЙ МЕДИЧНИЙ УНІВЕРСИТЕТ </w:t>
      </w:r>
    </w:p>
    <w:p w14:paraId="1EA9A469" w14:textId="77777777" w:rsidR="00F534E8" w:rsidRDefault="00000000">
      <w:pPr>
        <w:shd w:val="clear" w:color="auto" w:fill="FFFFFF"/>
        <w:jc w:val="center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ІМ. М.І.ПИРОГОВА</w:t>
      </w:r>
    </w:p>
    <w:p w14:paraId="6D1520B1" w14:textId="77777777" w:rsidR="00F534E8" w:rsidRDefault="00F534E8">
      <w:pPr>
        <w:rPr>
          <w:sz w:val="28"/>
          <w:szCs w:val="28"/>
        </w:rPr>
      </w:pPr>
    </w:p>
    <w:p w14:paraId="5E940A41" w14:textId="77777777" w:rsidR="00F534E8" w:rsidRDefault="00F534E8">
      <w:pPr>
        <w:rPr>
          <w:sz w:val="28"/>
          <w:szCs w:val="28"/>
        </w:rPr>
      </w:pPr>
    </w:p>
    <w:p w14:paraId="705A4570" w14:textId="77777777" w:rsidR="00F534E8" w:rsidRDefault="00F534E8">
      <w:pPr>
        <w:widowControl w:val="0"/>
        <w:jc w:val="center"/>
        <w:rPr>
          <w:color w:val="000000"/>
        </w:rPr>
      </w:pPr>
    </w:p>
    <w:p w14:paraId="5226D41F" w14:textId="77777777" w:rsidR="00F534E8" w:rsidRDefault="00F534E8">
      <w:pPr>
        <w:widowControl w:val="0"/>
        <w:jc w:val="center"/>
        <w:rPr>
          <w:color w:val="000000"/>
        </w:rPr>
      </w:pPr>
    </w:p>
    <w:p w14:paraId="36A47B9C" w14:textId="77777777" w:rsidR="00F534E8" w:rsidRDefault="00F534E8">
      <w:pPr>
        <w:widowControl w:val="0"/>
        <w:jc w:val="center"/>
        <w:rPr>
          <w:color w:val="000000"/>
        </w:rPr>
      </w:pPr>
    </w:p>
    <w:p w14:paraId="5F26DB0C" w14:textId="77777777" w:rsidR="00F534E8" w:rsidRDefault="00F534E8">
      <w:pPr>
        <w:widowControl w:val="0"/>
        <w:jc w:val="center"/>
        <w:rPr>
          <w:color w:val="000000"/>
        </w:rPr>
      </w:pPr>
    </w:p>
    <w:tbl>
      <w:tblPr>
        <w:tblStyle w:val="a9"/>
        <w:tblW w:w="4511" w:type="dxa"/>
        <w:tblInd w:w="5229" w:type="dxa"/>
        <w:tblLayout w:type="fixed"/>
        <w:tblLook w:val="0000" w:firstRow="0" w:lastRow="0" w:firstColumn="0" w:lastColumn="0" w:noHBand="0" w:noVBand="0"/>
      </w:tblPr>
      <w:tblGrid>
        <w:gridCol w:w="4511"/>
      </w:tblGrid>
      <w:tr w:rsidR="00F534E8" w14:paraId="0BF2D9C3" w14:textId="77777777">
        <w:tc>
          <w:tcPr>
            <w:tcW w:w="4511" w:type="dxa"/>
          </w:tcPr>
          <w:p w14:paraId="70AE5138" w14:textId="77777777" w:rsidR="00F534E8" w:rsidRDefault="0000000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«ЗАТВЕРДЖЕНО»</w:t>
            </w:r>
          </w:p>
          <w:p w14:paraId="6A6EC6D4" w14:textId="77777777" w:rsidR="00F534E8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 методичній нараді кафедри </w:t>
            </w:r>
          </w:p>
          <w:p w14:paraId="36CEAC07" w14:textId="77777777" w:rsidR="00F534E8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терапевтичної стоматології ВНМУ </w:t>
            </w:r>
          </w:p>
          <w:p w14:paraId="31AA496F" w14:textId="77777777" w:rsidR="00F534E8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ім. М.І. Пирогова</w:t>
            </w:r>
          </w:p>
          <w:p w14:paraId="6CCFE656" w14:textId="77777777" w:rsidR="00F534E8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Завідувач кафедри професор ЗВО </w:t>
            </w:r>
          </w:p>
          <w:p w14:paraId="7EC4683A" w14:textId="77777777" w:rsidR="00F534E8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bookmarkStart w:id="0" w:name="_heading=h.jhfm9b83s4ox" w:colFirst="0" w:colLast="0"/>
            <w:bookmarkEnd w:id="0"/>
            <w:r>
              <w:rPr>
                <w:noProof/>
              </w:rPr>
              <w:drawing>
                <wp:inline distT="0" distB="0" distL="0" distR="0" wp14:anchorId="6247C51C" wp14:editId="7661A5B3">
                  <wp:extent cx="540319" cy="233028"/>
                  <wp:effectExtent l="0" t="0" r="0" b="0"/>
                  <wp:docPr id="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19" cy="23302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2"/>
                <w:szCs w:val="22"/>
              </w:rPr>
              <w:t xml:space="preserve">Марія </w:t>
            </w:r>
            <w:r>
              <w:rPr>
                <w:smallCaps/>
                <w:color w:val="000000"/>
                <w:sz w:val="22"/>
                <w:szCs w:val="22"/>
              </w:rPr>
              <w:t>ШІНКАРУК-ДИКОВИЦЬКА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4FDF63FE" w14:textId="77777777" w:rsidR="00F534E8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«26» серпня 202</w:t>
            </w:r>
            <w:r>
              <w:rPr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р.</w:t>
            </w:r>
          </w:p>
          <w:p w14:paraId="480BE8E8" w14:textId="77777777" w:rsidR="00F534E8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Протокол №1</w:t>
            </w:r>
          </w:p>
        </w:tc>
      </w:tr>
    </w:tbl>
    <w:p w14:paraId="7E98BA45" w14:textId="77777777" w:rsidR="00F534E8" w:rsidRDefault="00F534E8">
      <w:pPr>
        <w:widowControl w:val="0"/>
        <w:jc w:val="center"/>
        <w:rPr>
          <w:color w:val="000000"/>
        </w:rPr>
      </w:pPr>
    </w:p>
    <w:p w14:paraId="442EDE41" w14:textId="77777777" w:rsidR="00F534E8" w:rsidRDefault="00F534E8">
      <w:pPr>
        <w:widowControl w:val="0"/>
        <w:jc w:val="center"/>
        <w:rPr>
          <w:color w:val="000000"/>
        </w:rPr>
      </w:pPr>
    </w:p>
    <w:p w14:paraId="551140C0" w14:textId="77777777" w:rsidR="00F534E8" w:rsidRDefault="00F534E8">
      <w:pPr>
        <w:widowControl w:val="0"/>
        <w:rPr>
          <w:color w:val="000000"/>
        </w:rPr>
      </w:pPr>
    </w:p>
    <w:p w14:paraId="11EDD720" w14:textId="77777777" w:rsidR="00F534E8" w:rsidRDefault="00F534E8">
      <w:pPr>
        <w:widowControl w:val="0"/>
        <w:rPr>
          <w:color w:val="000000"/>
        </w:rPr>
      </w:pPr>
    </w:p>
    <w:p w14:paraId="6C62A424" w14:textId="77777777" w:rsidR="00F534E8" w:rsidRDefault="00F534E8">
      <w:pPr>
        <w:widowControl w:val="0"/>
        <w:jc w:val="center"/>
        <w:rPr>
          <w:color w:val="000000"/>
          <w:sz w:val="28"/>
          <w:szCs w:val="28"/>
        </w:rPr>
      </w:pPr>
    </w:p>
    <w:p w14:paraId="1F3FD7CA" w14:textId="77777777" w:rsidR="00F534E8" w:rsidRDefault="00000000">
      <w:pPr>
        <w:widowControl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МЕТОДИЧНІ РЕКОМЕНДАЦІЇ</w:t>
      </w:r>
    </w:p>
    <w:p w14:paraId="6F462AA2" w14:textId="77777777" w:rsidR="00F534E8" w:rsidRDefault="00000000">
      <w:pPr>
        <w:widowControl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для викладачів  та самостійної роботи лікарів – інтернів</w:t>
      </w:r>
    </w:p>
    <w:p w14:paraId="71DE8947" w14:textId="77777777" w:rsidR="00F534E8" w:rsidRDefault="00F534E8">
      <w:pPr>
        <w:widowControl w:val="0"/>
        <w:jc w:val="center"/>
        <w:rPr>
          <w:color w:val="000000"/>
          <w:sz w:val="28"/>
          <w:szCs w:val="28"/>
        </w:rPr>
      </w:pPr>
    </w:p>
    <w:tbl>
      <w:tblPr>
        <w:tblStyle w:val="aa"/>
        <w:tblW w:w="957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7053"/>
      </w:tblGrid>
      <w:tr w:rsidR="00F534E8" w14:paraId="6F977D22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54F86" w14:textId="77777777" w:rsidR="00F534E8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Навчальна дисципліна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87C5A" w14:textId="77777777" w:rsidR="00F534E8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31 Терапевтична стоматологія</w:t>
            </w:r>
          </w:p>
        </w:tc>
      </w:tr>
      <w:tr w:rsidR="00F534E8" w14:paraId="66F67145" w14:textId="77777777">
        <w:trPr>
          <w:trHeight w:val="49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870FF" w14:textId="77777777" w:rsidR="00F534E8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Тема заняття № 12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3B2FD" w14:textId="77777777" w:rsidR="00F534E8" w:rsidRDefault="000000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Помилки та ускладнення при діагностиці пульпіту.</w:t>
            </w:r>
          </w:p>
        </w:tc>
      </w:tr>
      <w:tr w:rsidR="00F534E8" w14:paraId="6EFE19E1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44A59" w14:textId="77777777" w:rsidR="00F534E8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Курс 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4E97B" w14:textId="77777777" w:rsidR="00F534E8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інтернатура</w:t>
            </w:r>
          </w:p>
        </w:tc>
      </w:tr>
      <w:tr w:rsidR="00F534E8" w14:paraId="7EE85103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3B2DE" w14:textId="77777777" w:rsidR="00F534E8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Факультет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1B84D" w14:textId="77777777" w:rsidR="00F534E8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стоматологічний</w:t>
            </w:r>
          </w:p>
        </w:tc>
      </w:tr>
      <w:tr w:rsidR="00F534E8" w14:paraId="71406FEA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8E7A3" w14:textId="77777777" w:rsidR="00F534E8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Укладач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B2253" w14:textId="77777777" w:rsidR="00F534E8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Доцент ЗВО Олена </w:t>
            </w:r>
            <w:r>
              <w:rPr>
                <w:smallCaps/>
                <w:color w:val="000000"/>
                <w:sz w:val="28"/>
                <w:szCs w:val="28"/>
              </w:rPr>
              <w:t>МУНТЯН</w:t>
            </w:r>
          </w:p>
        </w:tc>
      </w:tr>
    </w:tbl>
    <w:p w14:paraId="501252D3" w14:textId="77777777" w:rsidR="00F534E8" w:rsidRDefault="00F534E8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14:paraId="6A005B5E" w14:textId="77777777" w:rsidR="00F534E8" w:rsidRDefault="00F534E8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14:paraId="2ABE0283" w14:textId="77777777" w:rsidR="00F534E8" w:rsidRDefault="00F534E8">
      <w:pPr>
        <w:widowControl w:val="0"/>
        <w:jc w:val="both"/>
        <w:rPr>
          <w:color w:val="000000"/>
          <w:sz w:val="28"/>
          <w:szCs w:val="28"/>
        </w:rPr>
      </w:pPr>
    </w:p>
    <w:p w14:paraId="56731B81" w14:textId="77777777" w:rsidR="00F534E8" w:rsidRDefault="00F534E8">
      <w:pPr>
        <w:widowControl w:val="0"/>
        <w:jc w:val="both"/>
        <w:rPr>
          <w:color w:val="000000"/>
          <w:sz w:val="28"/>
          <w:szCs w:val="28"/>
        </w:rPr>
      </w:pPr>
    </w:p>
    <w:p w14:paraId="18F2FB62" w14:textId="77777777" w:rsidR="00F534E8" w:rsidRDefault="00F534E8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14:paraId="3CA29812" w14:textId="77777777" w:rsidR="00F534E8" w:rsidRDefault="00F534E8">
      <w:pPr>
        <w:widowControl w:val="0"/>
        <w:rPr>
          <w:color w:val="000000"/>
          <w:sz w:val="28"/>
          <w:szCs w:val="28"/>
        </w:rPr>
      </w:pPr>
    </w:p>
    <w:p w14:paraId="44B0D097" w14:textId="77777777" w:rsidR="00F534E8" w:rsidRDefault="00F534E8">
      <w:pPr>
        <w:widowControl w:val="0"/>
        <w:rPr>
          <w:color w:val="000000"/>
          <w:sz w:val="28"/>
          <w:szCs w:val="28"/>
        </w:rPr>
      </w:pPr>
    </w:p>
    <w:p w14:paraId="4E3F19D4" w14:textId="77777777" w:rsidR="00F534E8" w:rsidRDefault="00F534E8">
      <w:pPr>
        <w:widowControl w:val="0"/>
        <w:rPr>
          <w:color w:val="000000"/>
          <w:sz w:val="28"/>
          <w:szCs w:val="28"/>
        </w:rPr>
      </w:pPr>
    </w:p>
    <w:p w14:paraId="65CEC636" w14:textId="77777777" w:rsidR="00F534E8" w:rsidRDefault="00F534E8">
      <w:pPr>
        <w:widowControl w:val="0"/>
        <w:rPr>
          <w:color w:val="000000"/>
          <w:sz w:val="28"/>
          <w:szCs w:val="28"/>
        </w:rPr>
      </w:pPr>
    </w:p>
    <w:p w14:paraId="4896EA8C" w14:textId="77777777" w:rsidR="00F534E8" w:rsidRDefault="00F534E8">
      <w:pPr>
        <w:widowControl w:val="0"/>
        <w:rPr>
          <w:color w:val="000000"/>
          <w:sz w:val="28"/>
          <w:szCs w:val="28"/>
        </w:rPr>
      </w:pPr>
    </w:p>
    <w:p w14:paraId="60B0CA09" w14:textId="77777777" w:rsidR="00F534E8" w:rsidRDefault="00F534E8">
      <w:pPr>
        <w:widowControl w:val="0"/>
        <w:rPr>
          <w:color w:val="000000"/>
          <w:sz w:val="28"/>
          <w:szCs w:val="28"/>
        </w:rPr>
      </w:pPr>
    </w:p>
    <w:p w14:paraId="7943988D" w14:textId="77777777" w:rsidR="00F534E8" w:rsidRDefault="00F534E8">
      <w:pPr>
        <w:widowControl w:val="0"/>
        <w:rPr>
          <w:color w:val="000000"/>
          <w:sz w:val="28"/>
          <w:szCs w:val="28"/>
        </w:rPr>
      </w:pPr>
    </w:p>
    <w:p w14:paraId="31405EE5" w14:textId="77777777" w:rsidR="00F534E8" w:rsidRDefault="00F534E8">
      <w:pPr>
        <w:widowControl w:val="0"/>
        <w:rPr>
          <w:color w:val="000000"/>
          <w:sz w:val="28"/>
          <w:szCs w:val="28"/>
        </w:rPr>
      </w:pPr>
    </w:p>
    <w:p w14:paraId="0D8552D5" w14:textId="77777777" w:rsidR="00F534E8" w:rsidRDefault="00F534E8">
      <w:pPr>
        <w:widowControl w:val="0"/>
        <w:ind w:firstLine="709"/>
        <w:jc w:val="center"/>
        <w:rPr>
          <w:color w:val="000000"/>
          <w:sz w:val="28"/>
          <w:szCs w:val="28"/>
        </w:rPr>
      </w:pPr>
    </w:p>
    <w:p w14:paraId="4EC76E79" w14:textId="77777777" w:rsidR="00F534E8" w:rsidRDefault="00F534E8">
      <w:pPr>
        <w:widowControl w:val="0"/>
        <w:ind w:firstLine="709"/>
        <w:jc w:val="center"/>
        <w:rPr>
          <w:color w:val="000000"/>
          <w:sz w:val="28"/>
          <w:szCs w:val="28"/>
        </w:rPr>
      </w:pPr>
    </w:p>
    <w:p w14:paraId="53E60188" w14:textId="77777777" w:rsidR="00F534E8" w:rsidRDefault="00F534E8">
      <w:pPr>
        <w:widowControl w:val="0"/>
        <w:ind w:firstLine="709"/>
        <w:jc w:val="center"/>
        <w:rPr>
          <w:color w:val="000000"/>
          <w:sz w:val="28"/>
          <w:szCs w:val="28"/>
        </w:rPr>
      </w:pPr>
    </w:p>
    <w:p w14:paraId="39D595A0" w14:textId="77777777" w:rsidR="00F534E8" w:rsidRDefault="00000000">
      <w:pPr>
        <w:widowControl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Вінниця – 202</w:t>
      </w:r>
      <w:r>
        <w:rPr>
          <w:sz w:val="28"/>
          <w:szCs w:val="28"/>
        </w:rPr>
        <w:t>5</w:t>
      </w:r>
    </w:p>
    <w:p w14:paraId="51D9DF16" w14:textId="77777777" w:rsidR="00F534E8" w:rsidRDefault="00F534E8">
      <w:pPr>
        <w:jc w:val="center"/>
        <w:rPr>
          <w:b/>
          <w:color w:val="000000"/>
          <w:sz w:val="28"/>
          <w:szCs w:val="28"/>
        </w:rPr>
      </w:pPr>
    </w:p>
    <w:p w14:paraId="2E501F2B" w14:textId="77777777" w:rsidR="00F534E8" w:rsidRDefault="00F534E8">
      <w:pPr>
        <w:jc w:val="center"/>
        <w:rPr>
          <w:b/>
          <w:color w:val="000000"/>
          <w:sz w:val="28"/>
          <w:szCs w:val="28"/>
        </w:rPr>
      </w:pPr>
    </w:p>
    <w:p w14:paraId="52C875BC" w14:textId="77777777" w:rsidR="00F534E8" w:rsidRDefault="00000000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Тема 12.</w:t>
      </w:r>
    </w:p>
    <w:p w14:paraId="6F598137" w14:textId="77777777" w:rsidR="00F534E8" w:rsidRDefault="00000000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Помилки та ускладнення при діагностиці пульпіту.</w:t>
      </w:r>
      <w:r>
        <w:rPr>
          <w:b/>
          <w:sz w:val="28"/>
          <w:szCs w:val="28"/>
        </w:rPr>
        <w:br/>
      </w:r>
    </w:p>
    <w:p w14:paraId="57BF059A" w14:textId="77777777" w:rsidR="00F534E8" w:rsidRDefault="00000000">
      <w:pPr>
        <w:ind w:firstLine="708"/>
        <w:rPr>
          <w:color w:val="000000"/>
          <w:sz w:val="26"/>
          <w:szCs w:val="26"/>
        </w:rPr>
      </w:pPr>
      <w:r>
        <w:rPr>
          <w:b/>
          <w:color w:val="333333"/>
          <w:sz w:val="26"/>
          <w:szCs w:val="26"/>
        </w:rPr>
        <w:t>Мета практичного заняття:</w:t>
      </w:r>
      <w:r>
        <w:rPr>
          <w:b/>
          <w:color w:val="333333"/>
          <w:sz w:val="26"/>
          <w:szCs w:val="26"/>
        </w:rPr>
        <w:br/>
      </w:r>
      <w:r>
        <w:rPr>
          <w:color w:val="333333"/>
          <w:sz w:val="26"/>
          <w:szCs w:val="26"/>
        </w:rPr>
        <w:t xml:space="preserve"> Вивчити п</w:t>
      </w:r>
      <w:r>
        <w:rPr>
          <w:color w:val="000000"/>
          <w:sz w:val="26"/>
          <w:szCs w:val="26"/>
        </w:rPr>
        <w:t>омилки і ускладнення при лікуванні пульпіту, їх причини  і способи усунення.</w:t>
      </w:r>
    </w:p>
    <w:p w14:paraId="5646D111" w14:textId="77777777" w:rsidR="00F534E8" w:rsidRDefault="00000000">
      <w:pPr>
        <w:numPr>
          <w:ilvl w:val="0"/>
          <w:numId w:val="3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b/>
          <w:color w:val="333333"/>
          <w:sz w:val="26"/>
          <w:szCs w:val="26"/>
        </w:rPr>
        <w:t>Завдання на формування початкового рівня знань:</w:t>
      </w:r>
      <w:r>
        <w:rPr>
          <w:color w:val="333333"/>
          <w:sz w:val="26"/>
          <w:szCs w:val="26"/>
        </w:rPr>
        <w:br/>
        <w:t>1. Основні та додаткові методи обстеження хворих пульпітом.</w:t>
      </w:r>
      <w:r>
        <w:rPr>
          <w:color w:val="333333"/>
          <w:sz w:val="26"/>
          <w:szCs w:val="26"/>
        </w:rPr>
        <w:br/>
        <w:t>2. Клініку, діагностику, диференційну діагностику пульпіту.</w:t>
      </w:r>
      <w:r>
        <w:rPr>
          <w:color w:val="333333"/>
          <w:sz w:val="26"/>
          <w:szCs w:val="26"/>
        </w:rPr>
        <w:br/>
        <w:t>3. Знати методи і засоби знеболювання при лікуванні пульпіту.</w:t>
      </w:r>
      <w:r>
        <w:rPr>
          <w:color w:val="333333"/>
          <w:sz w:val="26"/>
          <w:szCs w:val="26"/>
        </w:rPr>
        <w:br/>
        <w:t>4. Знати правила надання невідкладної допомоги при виникненні ускладнень під час знеболювання..</w:t>
      </w:r>
      <w:r>
        <w:rPr>
          <w:b/>
          <w:color w:val="333333"/>
          <w:sz w:val="26"/>
          <w:szCs w:val="26"/>
        </w:rPr>
        <w:br/>
        <w:t>Література:</w:t>
      </w:r>
      <w:r>
        <w:rPr>
          <w:color w:val="333333"/>
          <w:sz w:val="26"/>
          <w:szCs w:val="26"/>
        </w:rPr>
        <w:br/>
        <w:t>1</w:t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>Стоматологічні захворювання: терапевтична стоматологія: підручник / А.В. Борисенко, М.Ю. Антоненко, Л.В. Линовицька та ін.; за ред. А.В. Борисенка. – К. : ВСВ “Медицина”, 2017. – 664 с</w:t>
      </w:r>
    </w:p>
    <w:p w14:paraId="75CF5722" w14:textId="77777777" w:rsidR="00F534E8" w:rsidRDefault="00000000">
      <w:pPr>
        <w:numPr>
          <w:ilvl w:val="0"/>
          <w:numId w:val="3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Терапевтична стоматологія: підручник у 4т.-Т.4.Захворювання слизової оболонки порожнини рота /М.Ф.Данилевський,А.В.Борисенко,О.Ф.Несин та ін.-Вид.2-ВСВ “Медицина” 2021.-640с.</w:t>
      </w:r>
    </w:p>
    <w:p w14:paraId="2E4EAB03" w14:textId="77777777" w:rsidR="00F534E8" w:rsidRDefault="00000000">
      <w:pPr>
        <w:numPr>
          <w:ilvl w:val="0"/>
          <w:numId w:val="3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Збірник алгоритмів виконання практичних навичок при проведенні атестації випусників за спеціальністю “Стоматологія” Навчальний посібник; М.М.Рожко, Г.М.Ерстенюк, О.В.Бугерчук та ін – Івано-Франківськ: Видавництво ІФНМУ, 2020.-356 с. </w:t>
      </w:r>
    </w:p>
    <w:p w14:paraId="1B036F14" w14:textId="77777777" w:rsidR="00F534E8" w:rsidRDefault="00000000">
      <w:pPr>
        <w:numPr>
          <w:ilvl w:val="0"/>
          <w:numId w:val="3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Захворювання слизової оболонки ротової порожнини: навчальний посібник (ВНЗ IV р. а.) / І.І. Кириленко, І.В. Палійчук, М.М. Рожко-К.: «Медицина»,2016.-362 с</w:t>
      </w:r>
    </w:p>
    <w:p w14:paraId="6DC915B3" w14:textId="77777777" w:rsidR="00F534E8" w:rsidRDefault="00000000">
      <w:pPr>
        <w:numPr>
          <w:ilvl w:val="0"/>
          <w:numId w:val="3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Терапевтична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стоматологія: Захворювання слизової оболонки порожнини рота та червоної кайми губ : навчально методичний посібник до практичних занять з терапевтичної стоматології для студентів 5-го курсу стоматологічного факультету / О. М. Богдан, І. М. Богдан – Ужгород : 2024 – 268 с.</w:t>
      </w:r>
    </w:p>
    <w:p w14:paraId="56526026" w14:textId="77777777" w:rsidR="00F534E8" w:rsidRDefault="00000000">
      <w:pPr>
        <w:numPr>
          <w:ilvl w:val="0"/>
          <w:numId w:val="3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Додаткові методи обстеження у стоматології: навчальний посібник [Гасюк Н.В., Черняк В.В., Клітинська О.В., Бородач В.О. та ін.] – Тернопіль: 2017.- 120 с</w:t>
      </w:r>
    </w:p>
    <w:p w14:paraId="313F6FD7" w14:textId="77777777" w:rsidR="00F534E8" w:rsidRDefault="00000000">
      <w:pPr>
        <w:numPr>
          <w:ilvl w:val="0"/>
          <w:numId w:val="3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Батіг В.М. Систематизоване викладення змісту навчальної дисципліни «Терапевтична стоматологія». Навчальний посібник. / В.М.Батіг, В.І.Струк. – Чернівці, 2016. – 227 с.</w:t>
      </w:r>
    </w:p>
    <w:p w14:paraId="69B2635E" w14:textId="77777777" w:rsidR="00F534E8" w:rsidRDefault="00000000">
      <w:pPr>
        <w:numPr>
          <w:ilvl w:val="0"/>
          <w:numId w:val="3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Пропедевтика терапевтичної стоматології [Текст]: підруч. для студ. стом. факул. вищ. навч. закл. МОЗ України / Марченко І.Я., Назаренко З.Ю., Павленко С.А. та ін..; під заг. ред. Ткаченко І.М.; ВДНЗУ «УМСА» – Полтава: ТОВ «АСМІ», 2016 р. – 439 с.</w:t>
      </w:r>
    </w:p>
    <w:p w14:paraId="7B9B0C4C" w14:textId="77777777" w:rsidR="00F534E8" w:rsidRDefault="00000000">
      <w:pPr>
        <w:numPr>
          <w:ilvl w:val="0"/>
          <w:numId w:val="3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Клінічний практикум із терапевтичної стоматології: Навчальний посібник. / Т. О. Петрушанко, Л. Й. Островська, Н. М. Іленко. – Київ: “Центр учбової літератури”, 2019. – 260 с</w:t>
      </w:r>
    </w:p>
    <w:p w14:paraId="0633C92E" w14:textId="77777777" w:rsidR="00F534E8" w:rsidRDefault="00000000">
      <w:pPr>
        <w:numPr>
          <w:ilvl w:val="0"/>
          <w:numId w:val="3"/>
        </w:numPr>
        <w:tabs>
          <w:tab w:val="center" w:pos="851"/>
        </w:tabs>
        <w:ind w:hanging="360"/>
        <w:jc w:val="both"/>
        <w:rPr>
          <w:i/>
        </w:rPr>
      </w:pPr>
      <w:hyperlink r:id="rId7">
        <w:r>
          <w:rPr>
            <w:color w:val="0000FF"/>
            <w:sz w:val="24"/>
            <w:szCs w:val="24"/>
            <w:u w:val="single"/>
          </w:rPr>
          <w:t>https://www.academia.edu/40009330/ORAL_PATHOLOGY_AND_ORAL_MEDICINE</w:t>
        </w:r>
      </w:hyperlink>
    </w:p>
    <w:p w14:paraId="0BB9B012" w14:textId="77777777" w:rsidR="00F534E8" w:rsidRDefault="00F534E8">
      <w:pPr>
        <w:tabs>
          <w:tab w:val="center" w:pos="851"/>
        </w:tabs>
        <w:ind w:left="644"/>
        <w:jc w:val="both"/>
      </w:pPr>
    </w:p>
    <w:p w14:paraId="6DA46B84" w14:textId="77777777" w:rsidR="00F534E8" w:rsidRDefault="00F534E8">
      <w:pPr>
        <w:shd w:val="clear" w:color="auto" w:fill="FFFFFF"/>
        <w:jc w:val="both"/>
      </w:pPr>
    </w:p>
    <w:p w14:paraId="57BDA402" w14:textId="77777777" w:rsidR="00F534E8" w:rsidRDefault="00000000">
      <w:pPr>
        <w:rPr>
          <w:b/>
          <w:sz w:val="26"/>
          <w:szCs w:val="26"/>
        </w:rPr>
      </w:pPr>
      <w:r>
        <w:rPr>
          <w:b/>
          <w:sz w:val="26"/>
          <w:szCs w:val="26"/>
        </w:rPr>
        <w:t>Короткий зміст теми:</w:t>
      </w:r>
    </w:p>
    <w:p w14:paraId="2149C0B6" w14:textId="77777777" w:rsidR="00F534E8" w:rsidRDefault="00000000">
      <w:pPr>
        <w:jc w:val="center"/>
        <w:rPr>
          <w:color w:val="000000"/>
          <w:sz w:val="32"/>
          <w:szCs w:val="32"/>
          <w:u w:val="single"/>
        </w:rPr>
      </w:pPr>
      <w:r>
        <w:rPr>
          <w:color w:val="000000"/>
          <w:sz w:val="32"/>
          <w:szCs w:val="32"/>
          <w:u w:val="single"/>
        </w:rPr>
        <w:t xml:space="preserve">Помилки і ускладнення при лікуванні пульпіту </w:t>
      </w:r>
    </w:p>
    <w:p w14:paraId="2572D3BF" w14:textId="77777777" w:rsidR="00F534E8" w:rsidRDefault="00000000">
      <w:pPr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u w:val="single"/>
        </w:rPr>
        <w:t>біологічним методом</w:t>
      </w:r>
      <w:r>
        <w:rPr>
          <w:color w:val="000000"/>
          <w:sz w:val="32"/>
          <w:szCs w:val="32"/>
        </w:rPr>
        <w:t>:</w:t>
      </w:r>
    </w:p>
    <w:p w14:paraId="413200C2" w14:textId="77777777" w:rsidR="00F534E8" w:rsidRDefault="00000000">
      <w:pPr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1. Причина: </w:t>
      </w:r>
      <w:r>
        <w:rPr>
          <w:i/>
          <w:color w:val="000000"/>
          <w:sz w:val="32"/>
          <w:szCs w:val="32"/>
        </w:rPr>
        <w:t>Діагностична помилка</w:t>
      </w:r>
      <w:r>
        <w:rPr>
          <w:color w:val="000000"/>
          <w:sz w:val="32"/>
          <w:szCs w:val="32"/>
        </w:rPr>
        <w:t xml:space="preserve"> – клінічно: короткочасні періодичні болі відразу після лікування. </w:t>
      </w:r>
      <w:r>
        <w:rPr>
          <w:i/>
          <w:color w:val="000000"/>
          <w:sz w:val="32"/>
          <w:szCs w:val="32"/>
        </w:rPr>
        <w:t>Спосіб усунення</w:t>
      </w:r>
      <w:r>
        <w:rPr>
          <w:color w:val="000000"/>
          <w:sz w:val="32"/>
          <w:szCs w:val="32"/>
        </w:rPr>
        <w:t>: вітальна екстирпація пульпи з наступною обтурацією кореневої системи.</w:t>
      </w:r>
    </w:p>
    <w:p w14:paraId="3653D90F" w14:textId="77777777" w:rsidR="00F534E8" w:rsidRDefault="00000000">
      <w:pPr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2. Причина: </w:t>
      </w:r>
      <w:r>
        <w:rPr>
          <w:i/>
          <w:color w:val="000000"/>
          <w:sz w:val="32"/>
          <w:szCs w:val="32"/>
        </w:rPr>
        <w:t>Неправильний вибір лікувальних паст</w:t>
      </w:r>
      <w:r>
        <w:rPr>
          <w:color w:val="000000"/>
          <w:sz w:val="32"/>
          <w:szCs w:val="32"/>
        </w:rPr>
        <w:t xml:space="preserve"> – клінічно: біль від холодного й гарячого, мимовільний, приступоподібний біль.</w:t>
      </w:r>
      <w:r>
        <w:rPr>
          <w:i/>
          <w:color w:val="000000"/>
          <w:sz w:val="32"/>
          <w:szCs w:val="32"/>
        </w:rPr>
        <w:t xml:space="preserve"> Спосіб </w:t>
      </w:r>
      <w:r>
        <w:rPr>
          <w:i/>
          <w:color w:val="000000"/>
          <w:sz w:val="32"/>
          <w:szCs w:val="32"/>
        </w:rPr>
        <w:lastRenderedPageBreak/>
        <w:t>усунення</w:t>
      </w:r>
      <w:r>
        <w:rPr>
          <w:color w:val="000000"/>
          <w:sz w:val="32"/>
          <w:szCs w:val="32"/>
        </w:rPr>
        <w:t>: вітальна екстирпація пульпи з наступною обтурацією кореневої системи.</w:t>
      </w:r>
    </w:p>
    <w:p w14:paraId="49BAF256" w14:textId="77777777" w:rsidR="00F534E8" w:rsidRDefault="00000000">
      <w:pPr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3. Причина: </w:t>
      </w:r>
      <w:r>
        <w:rPr>
          <w:i/>
          <w:color w:val="000000"/>
          <w:sz w:val="32"/>
          <w:szCs w:val="32"/>
        </w:rPr>
        <w:t>Порушення правил асептики</w:t>
      </w:r>
      <w:r>
        <w:rPr>
          <w:color w:val="000000"/>
          <w:sz w:val="32"/>
          <w:szCs w:val="32"/>
        </w:rPr>
        <w:t xml:space="preserve"> – клінічно: самостійний біль, який підсилюється при накушуванні на зуб. </w:t>
      </w:r>
      <w:r>
        <w:rPr>
          <w:i/>
          <w:color w:val="000000"/>
          <w:sz w:val="32"/>
          <w:szCs w:val="32"/>
        </w:rPr>
        <w:t>Спосіб усунення</w:t>
      </w:r>
      <w:r>
        <w:rPr>
          <w:color w:val="000000"/>
          <w:sz w:val="32"/>
          <w:szCs w:val="32"/>
        </w:rPr>
        <w:t>: лікування як при гострому верхівковому періодонтиті.</w:t>
      </w:r>
    </w:p>
    <w:p w14:paraId="23EF9793" w14:textId="77777777" w:rsidR="00F534E8" w:rsidRDefault="00000000">
      <w:pPr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4. Причина: </w:t>
      </w:r>
      <w:r>
        <w:rPr>
          <w:i/>
          <w:color w:val="000000"/>
          <w:sz w:val="32"/>
          <w:szCs w:val="32"/>
        </w:rPr>
        <w:t>Порушення техніки виконання методу</w:t>
      </w:r>
      <w:r>
        <w:rPr>
          <w:color w:val="000000"/>
          <w:sz w:val="32"/>
          <w:szCs w:val="32"/>
        </w:rPr>
        <w:t xml:space="preserve"> – клінічно: скарги відсутні, але на рентгенограмі визначається розрідження кісткової тканини. </w:t>
      </w:r>
      <w:r>
        <w:rPr>
          <w:i/>
          <w:color w:val="000000"/>
          <w:sz w:val="32"/>
          <w:szCs w:val="32"/>
        </w:rPr>
        <w:t>Спосіб усунення</w:t>
      </w:r>
      <w:r>
        <w:rPr>
          <w:color w:val="000000"/>
          <w:sz w:val="32"/>
          <w:szCs w:val="32"/>
        </w:rPr>
        <w:t xml:space="preserve">: лікування як при хронічному верхівковому періодонтиті.    </w:t>
      </w:r>
    </w:p>
    <w:p w14:paraId="39969D12" w14:textId="77777777" w:rsidR="00F534E8" w:rsidRDefault="00F534E8"/>
    <w:p w14:paraId="62149DFE" w14:textId="77777777" w:rsidR="00F534E8" w:rsidRDefault="00F534E8"/>
    <w:p w14:paraId="4BFE0D0A" w14:textId="77777777" w:rsidR="00F534E8" w:rsidRDefault="00000000">
      <w:pPr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u w:val="single"/>
        </w:rPr>
        <w:t>Ускладнення вітального ампутаційного методу</w:t>
      </w:r>
      <w:r>
        <w:rPr>
          <w:color w:val="000000"/>
          <w:sz w:val="32"/>
          <w:szCs w:val="32"/>
        </w:rPr>
        <w:t>.</w:t>
      </w:r>
    </w:p>
    <w:p w14:paraId="6C470475" w14:textId="77777777" w:rsidR="00F534E8" w:rsidRDefault="00000000">
      <w:pPr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1. </w:t>
      </w:r>
      <w:r>
        <w:rPr>
          <w:i/>
          <w:color w:val="000000"/>
          <w:sz w:val="32"/>
          <w:szCs w:val="32"/>
        </w:rPr>
        <w:t>Клініка</w:t>
      </w:r>
      <w:r>
        <w:rPr>
          <w:color w:val="000000"/>
          <w:sz w:val="32"/>
          <w:szCs w:val="32"/>
        </w:rPr>
        <w:t xml:space="preserve">: біль від холодного, гарячого, самостійна, ниюча і біль при накушуванні. </w:t>
      </w:r>
      <w:r>
        <w:rPr>
          <w:i/>
          <w:color w:val="000000"/>
          <w:sz w:val="32"/>
          <w:szCs w:val="32"/>
        </w:rPr>
        <w:t>Причина</w:t>
      </w:r>
      <w:r>
        <w:rPr>
          <w:color w:val="000000"/>
          <w:sz w:val="32"/>
          <w:szCs w:val="32"/>
        </w:rPr>
        <w:t xml:space="preserve">: використання сильнодіючих препаратів, некроз пульпи, запалення періапикальних тканин. </w:t>
      </w:r>
      <w:r>
        <w:rPr>
          <w:i/>
          <w:color w:val="000000"/>
          <w:sz w:val="32"/>
          <w:szCs w:val="32"/>
        </w:rPr>
        <w:t>Способи усунення:</w:t>
      </w:r>
      <w:r>
        <w:rPr>
          <w:color w:val="000000"/>
          <w:sz w:val="32"/>
          <w:szCs w:val="32"/>
        </w:rPr>
        <w:t xml:space="preserve"> метод вітальної екстирпації, при періодонтальних явищах – лікування гострого періодонтиту. </w:t>
      </w:r>
    </w:p>
    <w:p w14:paraId="7B82F5CF" w14:textId="77777777" w:rsidR="00F534E8" w:rsidRDefault="00000000">
      <w:pPr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u w:val="single"/>
        </w:rPr>
        <w:t>Ускладнення вітального екстирпаційного методу</w:t>
      </w:r>
      <w:r>
        <w:rPr>
          <w:color w:val="000000"/>
          <w:sz w:val="32"/>
          <w:szCs w:val="32"/>
        </w:rPr>
        <w:t>:</w:t>
      </w:r>
    </w:p>
    <w:p w14:paraId="6A1D0965" w14:textId="77777777" w:rsidR="00F534E8" w:rsidRDefault="00000000">
      <w:pPr>
        <w:numPr>
          <w:ilvl w:val="0"/>
          <w:numId w:val="1"/>
        </w:numPr>
        <w:jc w:val="both"/>
        <w:rPr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Клініка</w:t>
      </w:r>
      <w:r>
        <w:rPr>
          <w:color w:val="000000"/>
          <w:sz w:val="32"/>
          <w:szCs w:val="32"/>
        </w:rPr>
        <w:t xml:space="preserve">: мимовільні, нічні болі, що підсилюються при дії температурних подразників. </w:t>
      </w:r>
      <w:r>
        <w:rPr>
          <w:i/>
          <w:color w:val="000000"/>
          <w:sz w:val="32"/>
          <w:szCs w:val="32"/>
        </w:rPr>
        <w:t>Причина:</w:t>
      </w:r>
      <w:r>
        <w:rPr>
          <w:color w:val="000000"/>
          <w:sz w:val="32"/>
          <w:szCs w:val="32"/>
        </w:rPr>
        <w:t xml:space="preserve"> неповне видалення пульпи. </w:t>
      </w:r>
      <w:r>
        <w:rPr>
          <w:i/>
          <w:color w:val="000000"/>
          <w:sz w:val="32"/>
          <w:szCs w:val="32"/>
        </w:rPr>
        <w:t>Способи усунення</w:t>
      </w:r>
      <w:r>
        <w:rPr>
          <w:color w:val="000000"/>
          <w:sz w:val="32"/>
          <w:szCs w:val="32"/>
        </w:rPr>
        <w:t>: екстирпація пульпи і повторне пломбування.</w:t>
      </w:r>
    </w:p>
    <w:p w14:paraId="76FE69FD" w14:textId="77777777" w:rsidR="00F534E8" w:rsidRDefault="00000000">
      <w:pPr>
        <w:numPr>
          <w:ilvl w:val="0"/>
          <w:numId w:val="1"/>
        </w:numPr>
        <w:jc w:val="both"/>
        <w:rPr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Клініка</w:t>
      </w:r>
      <w:r>
        <w:rPr>
          <w:color w:val="000000"/>
          <w:sz w:val="32"/>
          <w:szCs w:val="32"/>
        </w:rPr>
        <w:t xml:space="preserve">: біль при накушуванні відразу після пломбування. </w:t>
      </w:r>
      <w:r>
        <w:rPr>
          <w:i/>
          <w:color w:val="000000"/>
          <w:sz w:val="32"/>
          <w:szCs w:val="32"/>
        </w:rPr>
        <w:t>Причина:</w:t>
      </w:r>
      <w:r>
        <w:rPr>
          <w:color w:val="000000"/>
          <w:sz w:val="32"/>
          <w:szCs w:val="32"/>
        </w:rPr>
        <w:t xml:space="preserve"> виведення пломбувального матеріалу за верхівку. </w:t>
      </w:r>
      <w:r>
        <w:rPr>
          <w:i/>
          <w:color w:val="000000"/>
          <w:sz w:val="32"/>
          <w:szCs w:val="32"/>
        </w:rPr>
        <w:t>Способи усунення</w:t>
      </w:r>
      <w:r>
        <w:rPr>
          <w:color w:val="000000"/>
          <w:sz w:val="32"/>
          <w:szCs w:val="32"/>
        </w:rPr>
        <w:t>: диадинамічний струм і диадинамофорез, фонофорез анестетиків, гідрокортизону.</w:t>
      </w:r>
    </w:p>
    <w:p w14:paraId="19350A3F" w14:textId="77777777" w:rsidR="00F534E8" w:rsidRDefault="00000000">
      <w:pPr>
        <w:ind w:left="24"/>
        <w:jc w:val="both"/>
        <w:rPr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Клініка</w:t>
      </w:r>
      <w:r>
        <w:rPr>
          <w:color w:val="000000"/>
          <w:sz w:val="32"/>
          <w:szCs w:val="32"/>
        </w:rPr>
        <w:t xml:space="preserve">: біль при накушуванні через 1-2 тижні після пломбування. </w:t>
      </w:r>
      <w:r>
        <w:rPr>
          <w:i/>
          <w:color w:val="000000"/>
          <w:sz w:val="32"/>
          <w:szCs w:val="32"/>
        </w:rPr>
        <w:t>Причина</w:t>
      </w:r>
      <w:r>
        <w:rPr>
          <w:color w:val="000000"/>
          <w:sz w:val="32"/>
          <w:szCs w:val="32"/>
        </w:rPr>
        <w:t xml:space="preserve">: недопломбування кореневого каналу. </w:t>
      </w:r>
      <w:r>
        <w:rPr>
          <w:i/>
          <w:color w:val="000000"/>
          <w:sz w:val="32"/>
          <w:szCs w:val="32"/>
        </w:rPr>
        <w:t>Способи усунення</w:t>
      </w:r>
      <w:r>
        <w:rPr>
          <w:color w:val="000000"/>
          <w:sz w:val="32"/>
          <w:szCs w:val="32"/>
        </w:rPr>
        <w:t>: повторне лікування і пломбування.</w:t>
      </w:r>
    </w:p>
    <w:p w14:paraId="22D6C5C4" w14:textId="77777777" w:rsidR="00F534E8" w:rsidRDefault="00000000">
      <w:pPr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Закінчення. </w:t>
      </w:r>
    </w:p>
    <w:p w14:paraId="246DB07E" w14:textId="77777777" w:rsidR="00F534E8" w:rsidRDefault="00000000">
      <w:pPr>
        <w:ind w:left="24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ab/>
        <w:t>Таким чином, консервативний метод лікування пульпіту є методом профілактичної або превентивної ендодонтії. Обґрунтуванням для його використання послужили, з одного боку, нові дані про біологію й морфологію пульпи зуба, її реактивності й здатності протистояти різним факторам (мікроби, травми, токсини й ін.), з іншого боку - поява нових препаратів з вираженою протимікробною і протизапальною дією (антибіотики, антисептики, кортикостероіди й ін.).</w:t>
      </w:r>
    </w:p>
    <w:p w14:paraId="1F18A5C5" w14:textId="77777777" w:rsidR="00F534E8" w:rsidRDefault="00000000">
      <w:pPr>
        <w:ind w:left="24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ab/>
      </w:r>
    </w:p>
    <w:p w14:paraId="0F9C41CC" w14:textId="77777777" w:rsidR="00F534E8" w:rsidRDefault="00F534E8">
      <w:pPr>
        <w:ind w:left="24"/>
        <w:jc w:val="both"/>
        <w:rPr>
          <w:color w:val="000000"/>
          <w:sz w:val="32"/>
          <w:szCs w:val="32"/>
        </w:rPr>
      </w:pPr>
    </w:p>
    <w:p w14:paraId="7894F0AB" w14:textId="77777777" w:rsidR="00F534E8" w:rsidRDefault="00000000">
      <w:pPr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u w:val="single"/>
        </w:rPr>
        <w:t>Ускладнення девітального екстирпаційного методу</w:t>
      </w:r>
      <w:r>
        <w:rPr>
          <w:color w:val="000000"/>
          <w:sz w:val="32"/>
          <w:szCs w:val="32"/>
        </w:rPr>
        <w:t>:</w:t>
      </w:r>
    </w:p>
    <w:p w14:paraId="04E1CDDB" w14:textId="77777777" w:rsidR="00F534E8" w:rsidRDefault="00000000">
      <w:pPr>
        <w:numPr>
          <w:ilvl w:val="0"/>
          <w:numId w:val="2"/>
        </w:numPr>
        <w:jc w:val="both"/>
        <w:rPr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lastRenderedPageBreak/>
        <w:t>Клініка</w:t>
      </w:r>
      <w:r>
        <w:rPr>
          <w:color w:val="000000"/>
          <w:sz w:val="32"/>
          <w:szCs w:val="32"/>
        </w:rPr>
        <w:t xml:space="preserve">: самостійні ниючі болі протягом 1-2 годин після накладення пасти. </w:t>
      </w:r>
      <w:r>
        <w:rPr>
          <w:i/>
          <w:color w:val="000000"/>
          <w:sz w:val="32"/>
          <w:szCs w:val="32"/>
        </w:rPr>
        <w:t>Причина</w:t>
      </w:r>
      <w:r>
        <w:rPr>
          <w:color w:val="000000"/>
          <w:sz w:val="32"/>
          <w:szCs w:val="32"/>
        </w:rPr>
        <w:t xml:space="preserve">: гіперемія судин і посилення ексудації на першому етапі девіталізації. </w:t>
      </w:r>
      <w:r>
        <w:rPr>
          <w:i/>
          <w:color w:val="000000"/>
          <w:sz w:val="32"/>
          <w:szCs w:val="32"/>
        </w:rPr>
        <w:t>Спосіб усунення</w:t>
      </w:r>
      <w:r>
        <w:rPr>
          <w:color w:val="000000"/>
          <w:sz w:val="32"/>
          <w:szCs w:val="32"/>
        </w:rPr>
        <w:t>: призначення анальгетиків.</w:t>
      </w:r>
    </w:p>
    <w:p w14:paraId="65A2F63D" w14:textId="77777777" w:rsidR="00F534E8" w:rsidRDefault="00000000">
      <w:pPr>
        <w:numPr>
          <w:ilvl w:val="0"/>
          <w:numId w:val="2"/>
        </w:numPr>
        <w:jc w:val="both"/>
        <w:rPr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Клініка</w:t>
      </w:r>
      <w:r>
        <w:rPr>
          <w:color w:val="000000"/>
          <w:sz w:val="32"/>
          <w:szCs w:val="32"/>
        </w:rPr>
        <w:t xml:space="preserve">: нестерпні болі, що не припиняються через 2 години після накладення пасти. </w:t>
      </w:r>
      <w:r>
        <w:rPr>
          <w:i/>
          <w:color w:val="000000"/>
          <w:sz w:val="32"/>
          <w:szCs w:val="32"/>
        </w:rPr>
        <w:t>Причина</w:t>
      </w:r>
      <w:r>
        <w:rPr>
          <w:color w:val="000000"/>
          <w:sz w:val="32"/>
          <w:szCs w:val="32"/>
        </w:rPr>
        <w:t xml:space="preserve">: 1) миш'яковиста паста накладена на нерозкритий ріг пульпи, 2) тиск дентину пов'язки на пульпу. </w:t>
      </w:r>
      <w:r>
        <w:rPr>
          <w:i/>
          <w:color w:val="000000"/>
          <w:sz w:val="32"/>
          <w:szCs w:val="32"/>
        </w:rPr>
        <w:t>Способи усунення</w:t>
      </w:r>
      <w:r>
        <w:rPr>
          <w:color w:val="000000"/>
          <w:sz w:val="32"/>
          <w:szCs w:val="32"/>
        </w:rPr>
        <w:t>: розкрити ріг пульпи, накласти нову пов'язку.</w:t>
      </w:r>
    </w:p>
    <w:p w14:paraId="37CD7E64" w14:textId="77777777" w:rsidR="00F534E8" w:rsidRDefault="00000000">
      <w:pPr>
        <w:numPr>
          <w:ilvl w:val="0"/>
          <w:numId w:val="2"/>
        </w:numPr>
        <w:jc w:val="both"/>
        <w:rPr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Клініка</w:t>
      </w:r>
      <w:r>
        <w:rPr>
          <w:color w:val="000000"/>
          <w:sz w:val="32"/>
          <w:szCs w:val="32"/>
        </w:rPr>
        <w:t xml:space="preserve">: відсутність некротизуючої дії. </w:t>
      </w:r>
      <w:r>
        <w:rPr>
          <w:i/>
          <w:color w:val="000000"/>
          <w:sz w:val="32"/>
          <w:szCs w:val="32"/>
        </w:rPr>
        <w:t>Причина</w:t>
      </w:r>
      <w:r>
        <w:rPr>
          <w:color w:val="000000"/>
          <w:sz w:val="32"/>
          <w:szCs w:val="32"/>
        </w:rPr>
        <w:t xml:space="preserve">: 1) слабка концентрація миш'яковистої пасти, 2) наявність дентиклей, 3) резистентність до миш'яковистого ангідриду. </w:t>
      </w:r>
      <w:r>
        <w:rPr>
          <w:i/>
          <w:color w:val="000000"/>
          <w:sz w:val="32"/>
          <w:szCs w:val="32"/>
        </w:rPr>
        <w:t>Способи усунення</w:t>
      </w:r>
      <w:r>
        <w:rPr>
          <w:color w:val="000000"/>
          <w:sz w:val="32"/>
          <w:szCs w:val="32"/>
        </w:rPr>
        <w:t>: видалення пульпи під анестезією.</w:t>
      </w:r>
    </w:p>
    <w:p w14:paraId="6176A24F" w14:textId="77777777" w:rsidR="00F534E8" w:rsidRDefault="00000000">
      <w:pPr>
        <w:numPr>
          <w:ilvl w:val="0"/>
          <w:numId w:val="2"/>
        </w:numPr>
        <w:jc w:val="both"/>
        <w:rPr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Клініка</w:t>
      </w:r>
      <w:r>
        <w:rPr>
          <w:color w:val="000000"/>
          <w:sz w:val="32"/>
          <w:szCs w:val="32"/>
        </w:rPr>
        <w:t xml:space="preserve">: біль при накушуванні, рухливість зуба, ниючий самостійний біль, тобто розвиток миш'яковистого періодонтиту. </w:t>
      </w:r>
      <w:r>
        <w:rPr>
          <w:i/>
          <w:color w:val="000000"/>
          <w:sz w:val="32"/>
          <w:szCs w:val="32"/>
        </w:rPr>
        <w:t>Причина</w:t>
      </w:r>
      <w:r>
        <w:rPr>
          <w:color w:val="000000"/>
          <w:sz w:val="32"/>
          <w:szCs w:val="32"/>
        </w:rPr>
        <w:t xml:space="preserve">: 1) передозування миш'яковистої пасти, 2) підвищена чутливість до миш'яковистої пасти, 3) тривалий вплив (більш 24-48 ч.) миш'яковистої пасти, 4) особливості структури періодонта (пухкий, богатоваскуляризований). </w:t>
      </w:r>
      <w:r>
        <w:rPr>
          <w:i/>
          <w:color w:val="000000"/>
          <w:sz w:val="32"/>
          <w:szCs w:val="32"/>
        </w:rPr>
        <w:t>Способи усунення</w:t>
      </w:r>
      <w:r>
        <w:rPr>
          <w:color w:val="000000"/>
          <w:sz w:val="32"/>
          <w:szCs w:val="32"/>
        </w:rPr>
        <w:t>: видалити пов'язку й миш'яковисту пасту, обробка антидотами (5% иод, 1% иодинол, унітиол), внутріканальний електрофорез із 2% йодистим калієм, лікування періодонтита.</w:t>
      </w:r>
    </w:p>
    <w:p w14:paraId="1F3DA4B1" w14:textId="77777777" w:rsidR="00F534E8" w:rsidRDefault="00000000">
      <w:pPr>
        <w:numPr>
          <w:ilvl w:val="0"/>
          <w:numId w:val="2"/>
        </w:numPr>
        <w:jc w:val="both"/>
        <w:rPr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Клініка</w:t>
      </w:r>
      <w:r>
        <w:rPr>
          <w:color w:val="000000"/>
          <w:sz w:val="32"/>
          <w:szCs w:val="32"/>
        </w:rPr>
        <w:t xml:space="preserve">: хімічний опік або некроз сосочка. </w:t>
      </w:r>
      <w:r>
        <w:rPr>
          <w:i/>
          <w:color w:val="000000"/>
          <w:sz w:val="32"/>
          <w:szCs w:val="32"/>
        </w:rPr>
        <w:t>Причина</w:t>
      </w:r>
      <w:r>
        <w:rPr>
          <w:color w:val="000000"/>
          <w:sz w:val="32"/>
          <w:szCs w:val="32"/>
        </w:rPr>
        <w:t xml:space="preserve">: відсутність герметичності девіталізуючої пасти і камфоро-фенола. </w:t>
      </w:r>
      <w:r>
        <w:rPr>
          <w:i/>
          <w:color w:val="000000"/>
          <w:sz w:val="32"/>
          <w:szCs w:val="32"/>
        </w:rPr>
        <w:t>Способи усунення</w:t>
      </w:r>
      <w:r>
        <w:rPr>
          <w:color w:val="000000"/>
          <w:sz w:val="32"/>
          <w:szCs w:val="32"/>
        </w:rPr>
        <w:t>: видалити пов'язку, ампутація і екстирпація пульпи, знеболення сосочка, видалення некротизованої тканини, протизапальні засоби у вигляді аплікацій і полоскань.</w:t>
      </w:r>
    </w:p>
    <w:p w14:paraId="1AE3D4AC" w14:textId="77777777" w:rsidR="00F534E8" w:rsidRDefault="00000000">
      <w:pPr>
        <w:numPr>
          <w:ilvl w:val="0"/>
          <w:numId w:val="2"/>
        </w:numPr>
        <w:jc w:val="both"/>
        <w:rPr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Клініка</w:t>
      </w:r>
      <w:r>
        <w:rPr>
          <w:color w:val="000000"/>
          <w:sz w:val="32"/>
          <w:szCs w:val="32"/>
        </w:rPr>
        <w:t xml:space="preserve">: біль від гарячого, холодного. </w:t>
      </w:r>
      <w:r>
        <w:rPr>
          <w:i/>
          <w:color w:val="000000"/>
          <w:sz w:val="32"/>
          <w:szCs w:val="32"/>
        </w:rPr>
        <w:t>Причина</w:t>
      </w:r>
      <w:r>
        <w:rPr>
          <w:color w:val="000000"/>
          <w:sz w:val="32"/>
          <w:szCs w:val="32"/>
        </w:rPr>
        <w:t xml:space="preserve">: не повністю видалена пульпа. </w:t>
      </w:r>
      <w:r>
        <w:rPr>
          <w:i/>
          <w:color w:val="000000"/>
          <w:sz w:val="32"/>
          <w:szCs w:val="32"/>
        </w:rPr>
        <w:t>Способи усунення</w:t>
      </w:r>
      <w:r>
        <w:rPr>
          <w:color w:val="000000"/>
          <w:sz w:val="32"/>
          <w:szCs w:val="32"/>
        </w:rPr>
        <w:t>: провести повторне ендодонтичне лікування, при непрохідності каналів – муміфікуючи методи.</w:t>
      </w:r>
    </w:p>
    <w:p w14:paraId="31629111" w14:textId="77777777" w:rsidR="00F534E8" w:rsidRDefault="00000000">
      <w:pPr>
        <w:ind w:firstLine="708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По даним А.Ж. Петрикаса, знеболення при використанні миш'ьяковистої пасти досягається дуже сильним, але зворотним ушкодженням пульпи, а через тиждень поріг чутливості пульпи відновлюється (усім відома чутливість пульпи, після того як миш'яковиста паста перебуває в порожнині зуба тиждень і більше). Часто токсична дія миш'яковистої пасти поширюється на тканини періодонта, і часто спостерігається недостатня його дія в апікальній частині пульпи. Девітализируючи засоби, які виходять за межі кореневої системи, стимулюють епітелій острівців Малассе і, тим самим, сприяють утворенню білякореневих кист.        </w:t>
      </w:r>
    </w:p>
    <w:p w14:paraId="2D641710" w14:textId="77777777" w:rsidR="00F534E8" w:rsidRDefault="00F534E8">
      <w:pPr>
        <w:jc w:val="both"/>
        <w:rPr>
          <w:color w:val="000000"/>
          <w:sz w:val="32"/>
          <w:szCs w:val="32"/>
        </w:rPr>
      </w:pPr>
    </w:p>
    <w:p w14:paraId="73D58B23" w14:textId="77777777" w:rsidR="00F534E8" w:rsidRDefault="00F534E8"/>
    <w:sectPr w:rsidR="00F534E8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420E0"/>
    <w:multiLevelType w:val="multilevel"/>
    <w:tmpl w:val="BC523130"/>
    <w:lvl w:ilvl="0">
      <w:start w:val="1"/>
      <w:numFmt w:val="decimal"/>
      <w:lvlText w:val="%1."/>
      <w:lvlJc w:val="left"/>
      <w:pPr>
        <w:ind w:left="765" w:hanging="4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F24DDB"/>
    <w:multiLevelType w:val="multilevel"/>
    <w:tmpl w:val="0510A1BE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decimal"/>
      <w:lvlText w:val="%2."/>
      <w:lvlJc w:val="left"/>
      <w:pPr>
        <w:ind w:left="1364" w:hanging="360"/>
      </w:pPr>
    </w:lvl>
    <w:lvl w:ilvl="2">
      <w:start w:val="1"/>
      <w:numFmt w:val="decimal"/>
      <w:lvlText w:val="%3."/>
      <w:lvlJc w:val="left"/>
      <w:pPr>
        <w:ind w:left="2084" w:hanging="36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decimal"/>
      <w:lvlText w:val="%5."/>
      <w:lvlJc w:val="left"/>
      <w:pPr>
        <w:ind w:left="3524" w:hanging="360"/>
      </w:pPr>
    </w:lvl>
    <w:lvl w:ilvl="5">
      <w:start w:val="1"/>
      <w:numFmt w:val="decimal"/>
      <w:lvlText w:val="%6."/>
      <w:lvlJc w:val="left"/>
      <w:pPr>
        <w:ind w:left="4244" w:hanging="36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decimal"/>
      <w:lvlText w:val="%8."/>
      <w:lvlJc w:val="left"/>
      <w:pPr>
        <w:ind w:left="5684" w:hanging="360"/>
      </w:pPr>
    </w:lvl>
    <w:lvl w:ilvl="8">
      <w:start w:val="1"/>
      <w:numFmt w:val="decimal"/>
      <w:lvlText w:val="%9."/>
      <w:lvlJc w:val="left"/>
      <w:pPr>
        <w:ind w:left="6404" w:hanging="360"/>
      </w:pPr>
    </w:lvl>
  </w:abstractNum>
  <w:abstractNum w:abstractNumId="2" w15:restartNumberingAfterBreak="0">
    <w:nsid w:val="677F4C23"/>
    <w:multiLevelType w:val="multilevel"/>
    <w:tmpl w:val="35123E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19877052">
    <w:abstractNumId w:val="0"/>
  </w:num>
  <w:num w:numId="2" w16cid:durableId="1951664242">
    <w:abstractNumId w:val="2"/>
  </w:num>
  <w:num w:numId="3" w16cid:durableId="12469632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34E8"/>
    <w:rsid w:val="002F6C73"/>
    <w:rsid w:val="00F16436"/>
    <w:rsid w:val="00F53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2BBEB"/>
  <w15:docId w15:val="{24F4AB38-94C1-4DB0-A049-B6F84B9C2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uiPriority w:val="34"/>
    <w:qFormat/>
    <w:rsid w:val="00EA158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34A52"/>
    <w:rPr>
      <w:color w:val="0000FF" w:themeColor="hyperlink"/>
      <w:u w:val="single"/>
    </w:rPr>
  </w:style>
  <w:style w:type="paragraph" w:styleId="a6">
    <w:name w:val="Balloon Text"/>
    <w:link w:val="a7"/>
    <w:uiPriority w:val="99"/>
    <w:semiHidden/>
    <w:unhideWhenUsed/>
    <w:rsid w:val="00E56827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E5682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cademia.edu/40009330/ORAL_PATHOLOGY_AND_ORAL_MEDICIN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EWz18GD/OdC1MnvTleiUjaIhwg==">CgMxLjAyDmguamhmbTliODNzNG94OAByITE1bzVlTVR1WVNuVDdLQ0pKYXJ1VEFHNU15aGxvTTltMA==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4884</Words>
  <Characters>2784</Characters>
  <Application>Microsoft Office Word</Application>
  <DocSecurity>0</DocSecurity>
  <Lines>23</Lines>
  <Paragraphs>15</Paragraphs>
  <ScaleCrop>false</ScaleCrop>
  <Company/>
  <LinksUpToDate>false</LinksUpToDate>
  <CharactersWithSpaces>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mulen77</dc:creator>
  <cp:lastModifiedBy>mulen</cp:lastModifiedBy>
  <cp:revision>2</cp:revision>
  <dcterms:created xsi:type="dcterms:W3CDTF">2025-09-25T12:16:00Z</dcterms:created>
  <dcterms:modified xsi:type="dcterms:W3CDTF">2025-09-25T12:16:00Z</dcterms:modified>
</cp:coreProperties>
</file>