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9C9228" w14:textId="77777777" w:rsidR="00151952" w:rsidRDefault="00000000">
      <w:pPr>
        <w:widowControl w:val="0"/>
        <w:spacing w:after="0" w:line="240" w:lineRule="auto"/>
        <w:jc w:val="center"/>
        <w:rPr>
          <w:rFonts w:ascii="Times New Roman" w:eastAsia="Times New Roman" w:hAnsi="Times New Roman" w:cs="Times New Roman"/>
          <w:smallCaps/>
          <w:color w:val="000000"/>
          <w:sz w:val="24"/>
          <w:szCs w:val="24"/>
        </w:rPr>
      </w:pPr>
      <w:r>
        <w:rPr>
          <w:rFonts w:ascii="Times New Roman" w:eastAsia="Times New Roman" w:hAnsi="Times New Roman" w:cs="Times New Roman"/>
          <w:smallCaps/>
          <w:color w:val="000000"/>
          <w:sz w:val="24"/>
          <w:szCs w:val="24"/>
        </w:rPr>
        <w:t>МІНІСТЕРСТВО ОХОРОНИ ЗДОРОВ’Я</w:t>
      </w:r>
    </w:p>
    <w:p w14:paraId="019FC6CD" w14:textId="77777777" w:rsidR="00151952" w:rsidRDefault="00000000">
      <w:pPr>
        <w:widowControl w:val="0"/>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ВІННИЦЬКИЙ НАЦІОНАЛЬНИЙ МЕДИЧНИЙ УНІВЕРСИТЕТ ім. М.І. ПИРОГОВА</w:t>
      </w:r>
      <w:r>
        <w:rPr>
          <w:rFonts w:ascii="Times New Roman" w:eastAsia="Times New Roman" w:hAnsi="Times New Roman" w:cs="Times New Roman"/>
          <w:color w:val="000000"/>
          <w:sz w:val="24"/>
          <w:szCs w:val="24"/>
        </w:rPr>
        <w:br/>
      </w:r>
    </w:p>
    <w:p w14:paraId="699A57C6" w14:textId="77777777" w:rsidR="00151952" w:rsidRDefault="00151952">
      <w:pPr>
        <w:widowControl w:val="0"/>
        <w:spacing w:after="0" w:line="240" w:lineRule="auto"/>
        <w:jc w:val="center"/>
        <w:rPr>
          <w:rFonts w:ascii="Times New Roman" w:eastAsia="Times New Roman" w:hAnsi="Times New Roman" w:cs="Times New Roman"/>
          <w:color w:val="000000"/>
          <w:sz w:val="28"/>
          <w:szCs w:val="28"/>
        </w:rPr>
      </w:pPr>
    </w:p>
    <w:p w14:paraId="612634B3" w14:textId="77777777" w:rsidR="00151952" w:rsidRDefault="00151952">
      <w:pPr>
        <w:widowControl w:val="0"/>
        <w:spacing w:after="0" w:line="240" w:lineRule="auto"/>
        <w:jc w:val="center"/>
        <w:rPr>
          <w:rFonts w:ascii="Times New Roman" w:eastAsia="Times New Roman" w:hAnsi="Times New Roman" w:cs="Times New Roman"/>
          <w:color w:val="000000"/>
          <w:sz w:val="28"/>
          <w:szCs w:val="28"/>
        </w:rPr>
      </w:pPr>
    </w:p>
    <w:tbl>
      <w:tblPr>
        <w:tblStyle w:val="a8"/>
        <w:tblW w:w="4511" w:type="dxa"/>
        <w:tblInd w:w="5229" w:type="dxa"/>
        <w:tblLayout w:type="fixed"/>
        <w:tblLook w:val="0000" w:firstRow="0" w:lastRow="0" w:firstColumn="0" w:lastColumn="0" w:noHBand="0" w:noVBand="0"/>
      </w:tblPr>
      <w:tblGrid>
        <w:gridCol w:w="4511"/>
      </w:tblGrid>
      <w:tr w:rsidR="00151952" w14:paraId="6C501A64" w14:textId="77777777">
        <w:tc>
          <w:tcPr>
            <w:tcW w:w="4511" w:type="dxa"/>
          </w:tcPr>
          <w:p w14:paraId="11C0A04E" w14:textId="77777777" w:rsidR="00151952" w:rsidRDefault="00000000">
            <w:pPr>
              <w:widowControl w:val="0"/>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«ЗАТВЕРДЖЕНО»</w:t>
            </w:r>
          </w:p>
          <w:p w14:paraId="25D28BAE" w14:textId="77777777" w:rsidR="00151952"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На методичній нараді кафедри </w:t>
            </w:r>
          </w:p>
          <w:p w14:paraId="194566A8" w14:textId="77777777" w:rsidR="00151952"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терапевтичної стоматології ВНМУ </w:t>
            </w:r>
          </w:p>
          <w:p w14:paraId="168009B5" w14:textId="77777777" w:rsidR="00151952"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ім. М.І. Пирогова</w:t>
            </w:r>
          </w:p>
          <w:p w14:paraId="490133F4" w14:textId="77777777" w:rsidR="00151952"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Завідувач кафедри професор ЗВО </w:t>
            </w:r>
          </w:p>
          <w:p w14:paraId="4E32F141" w14:textId="77777777" w:rsidR="00151952" w:rsidRDefault="00000000">
            <w:pPr>
              <w:widowControl w:val="0"/>
              <w:spacing w:after="0" w:line="240" w:lineRule="auto"/>
              <w:rPr>
                <w:rFonts w:ascii="Times New Roman" w:eastAsia="Times New Roman" w:hAnsi="Times New Roman" w:cs="Times New Roman"/>
                <w:color w:val="000000"/>
              </w:rPr>
            </w:pPr>
            <w:bookmarkStart w:id="0" w:name="_heading=h.oxquxl5cxd8e" w:colFirst="0" w:colLast="0"/>
            <w:bookmarkEnd w:id="0"/>
            <w:r>
              <w:rPr>
                <w:noProof/>
              </w:rPr>
              <w:drawing>
                <wp:inline distT="0" distB="0" distL="0" distR="0" wp14:anchorId="78705A1E" wp14:editId="093E32AE">
                  <wp:extent cx="558213" cy="230224"/>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558213" cy="230224"/>
                          </a:xfrm>
                          <a:prstGeom prst="rect">
                            <a:avLst/>
                          </a:prstGeom>
                          <a:ln/>
                        </pic:spPr>
                      </pic:pic>
                    </a:graphicData>
                  </a:graphic>
                </wp:inline>
              </w:drawing>
            </w:r>
            <w:r>
              <w:rPr>
                <w:rFonts w:ascii="Times New Roman" w:eastAsia="Times New Roman" w:hAnsi="Times New Roman" w:cs="Times New Roman"/>
                <w:color w:val="000000"/>
              </w:rPr>
              <w:t xml:space="preserve">Марія </w:t>
            </w:r>
            <w:r>
              <w:rPr>
                <w:rFonts w:ascii="Times New Roman" w:eastAsia="Times New Roman" w:hAnsi="Times New Roman" w:cs="Times New Roman"/>
                <w:smallCaps/>
                <w:color w:val="000000"/>
              </w:rPr>
              <w:t>ШІНКАРУК-ДИКОВИЦЬКА</w:t>
            </w:r>
            <w:r>
              <w:rPr>
                <w:rFonts w:ascii="Times New Roman" w:eastAsia="Times New Roman" w:hAnsi="Times New Roman" w:cs="Times New Roman"/>
                <w:color w:val="000000"/>
              </w:rPr>
              <w:t xml:space="preserve"> </w:t>
            </w:r>
          </w:p>
          <w:p w14:paraId="135E2DBF" w14:textId="77777777" w:rsidR="00151952"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«26» серпня 202</w:t>
            </w:r>
            <w:r>
              <w:rPr>
                <w:rFonts w:ascii="Times New Roman" w:eastAsia="Times New Roman" w:hAnsi="Times New Roman" w:cs="Times New Roman"/>
              </w:rPr>
              <w:t>5</w:t>
            </w:r>
            <w:r>
              <w:rPr>
                <w:rFonts w:ascii="Times New Roman" w:eastAsia="Times New Roman" w:hAnsi="Times New Roman" w:cs="Times New Roman"/>
                <w:color w:val="000000"/>
              </w:rPr>
              <w:t>р.</w:t>
            </w:r>
          </w:p>
          <w:p w14:paraId="1F0DB7C7" w14:textId="77777777" w:rsidR="00151952"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Протокол №1</w:t>
            </w:r>
          </w:p>
        </w:tc>
      </w:tr>
    </w:tbl>
    <w:p w14:paraId="58116B02" w14:textId="77777777" w:rsidR="00151952" w:rsidRDefault="00151952">
      <w:pPr>
        <w:widowControl w:val="0"/>
        <w:spacing w:after="0" w:line="240" w:lineRule="auto"/>
        <w:jc w:val="center"/>
        <w:rPr>
          <w:rFonts w:ascii="Times New Roman" w:eastAsia="Times New Roman" w:hAnsi="Times New Roman" w:cs="Times New Roman"/>
          <w:color w:val="000000"/>
        </w:rPr>
      </w:pPr>
    </w:p>
    <w:p w14:paraId="2F430F28" w14:textId="77777777" w:rsidR="00151952" w:rsidRDefault="00151952">
      <w:pPr>
        <w:widowControl w:val="0"/>
        <w:spacing w:after="0" w:line="240" w:lineRule="auto"/>
        <w:jc w:val="center"/>
        <w:rPr>
          <w:rFonts w:ascii="Times New Roman" w:eastAsia="Times New Roman" w:hAnsi="Times New Roman" w:cs="Times New Roman"/>
          <w:color w:val="000000"/>
          <w:sz w:val="28"/>
          <w:szCs w:val="28"/>
        </w:rPr>
      </w:pPr>
    </w:p>
    <w:p w14:paraId="3AA94CCB" w14:textId="77777777" w:rsidR="00151952" w:rsidRDefault="00151952">
      <w:pPr>
        <w:widowControl w:val="0"/>
        <w:spacing w:after="0" w:line="240" w:lineRule="auto"/>
        <w:jc w:val="center"/>
        <w:rPr>
          <w:rFonts w:ascii="Times New Roman" w:eastAsia="Times New Roman" w:hAnsi="Times New Roman" w:cs="Times New Roman"/>
          <w:color w:val="000000"/>
          <w:sz w:val="28"/>
          <w:szCs w:val="28"/>
        </w:rPr>
      </w:pPr>
    </w:p>
    <w:p w14:paraId="0BF3EABB" w14:textId="77777777" w:rsidR="00151952" w:rsidRDefault="00151952">
      <w:pPr>
        <w:widowControl w:val="0"/>
        <w:spacing w:after="0" w:line="240" w:lineRule="auto"/>
        <w:jc w:val="center"/>
        <w:rPr>
          <w:rFonts w:ascii="Times New Roman" w:eastAsia="Times New Roman" w:hAnsi="Times New Roman" w:cs="Times New Roman"/>
          <w:color w:val="000000"/>
          <w:sz w:val="28"/>
          <w:szCs w:val="28"/>
        </w:rPr>
      </w:pPr>
    </w:p>
    <w:p w14:paraId="2780B963" w14:textId="77777777" w:rsidR="00151952" w:rsidRDefault="00151952">
      <w:pPr>
        <w:widowControl w:val="0"/>
        <w:spacing w:after="0" w:line="240" w:lineRule="auto"/>
        <w:jc w:val="center"/>
        <w:rPr>
          <w:rFonts w:ascii="Times New Roman" w:eastAsia="Times New Roman" w:hAnsi="Times New Roman" w:cs="Times New Roman"/>
          <w:color w:val="000000"/>
          <w:sz w:val="28"/>
          <w:szCs w:val="28"/>
        </w:rPr>
      </w:pPr>
    </w:p>
    <w:p w14:paraId="1054E050" w14:textId="77777777" w:rsidR="00151952" w:rsidRDefault="00151952">
      <w:pPr>
        <w:widowControl w:val="0"/>
        <w:spacing w:after="0" w:line="240" w:lineRule="auto"/>
        <w:jc w:val="center"/>
        <w:rPr>
          <w:rFonts w:ascii="Times New Roman" w:eastAsia="Times New Roman" w:hAnsi="Times New Roman" w:cs="Times New Roman"/>
          <w:color w:val="000000"/>
          <w:sz w:val="28"/>
          <w:szCs w:val="28"/>
        </w:rPr>
      </w:pPr>
    </w:p>
    <w:p w14:paraId="232E0C45" w14:textId="77777777" w:rsidR="00151952" w:rsidRDefault="00151952">
      <w:pPr>
        <w:widowControl w:val="0"/>
        <w:spacing w:after="0" w:line="240" w:lineRule="auto"/>
        <w:jc w:val="center"/>
        <w:rPr>
          <w:rFonts w:ascii="Times New Roman" w:eastAsia="Times New Roman" w:hAnsi="Times New Roman" w:cs="Times New Roman"/>
          <w:color w:val="000000"/>
          <w:sz w:val="28"/>
          <w:szCs w:val="28"/>
        </w:rPr>
      </w:pPr>
    </w:p>
    <w:p w14:paraId="3899772D" w14:textId="77777777" w:rsidR="00151952" w:rsidRDefault="00000000">
      <w:pPr>
        <w:widowControl w:val="0"/>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МЕТОДИЧНІ РЕКОМЕНДАЦІЇ</w:t>
      </w:r>
    </w:p>
    <w:p w14:paraId="727DD774" w14:textId="77777777" w:rsidR="00151952" w:rsidRDefault="00000000">
      <w:pPr>
        <w:widowControl w:val="0"/>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для лікарів – інтернів</w:t>
      </w:r>
    </w:p>
    <w:p w14:paraId="60BF82BC" w14:textId="77777777" w:rsidR="00151952" w:rsidRDefault="00151952">
      <w:pPr>
        <w:widowControl w:val="0"/>
        <w:spacing w:after="0" w:line="240" w:lineRule="auto"/>
        <w:jc w:val="center"/>
        <w:rPr>
          <w:rFonts w:ascii="Times New Roman" w:eastAsia="Times New Roman" w:hAnsi="Times New Roman" w:cs="Times New Roman"/>
          <w:color w:val="000000"/>
          <w:sz w:val="28"/>
          <w:szCs w:val="28"/>
        </w:rPr>
      </w:pPr>
    </w:p>
    <w:tbl>
      <w:tblPr>
        <w:tblStyle w:val="a9"/>
        <w:tblW w:w="957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2"/>
        <w:gridCol w:w="6769"/>
      </w:tblGrid>
      <w:tr w:rsidR="00151952" w14:paraId="1F1C66D0" w14:textId="77777777">
        <w:tc>
          <w:tcPr>
            <w:tcW w:w="2802" w:type="dxa"/>
            <w:tcBorders>
              <w:top w:val="single" w:sz="4" w:space="0" w:color="000000"/>
              <w:left w:val="single" w:sz="4" w:space="0" w:color="000000"/>
              <w:bottom w:val="single" w:sz="4" w:space="0" w:color="000000"/>
              <w:right w:val="single" w:sz="4" w:space="0" w:color="000000"/>
            </w:tcBorders>
          </w:tcPr>
          <w:p w14:paraId="2E076168" w14:textId="77777777" w:rsidR="00151952"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Навчальна дисципліна</w:t>
            </w:r>
          </w:p>
        </w:tc>
        <w:tc>
          <w:tcPr>
            <w:tcW w:w="6769" w:type="dxa"/>
            <w:tcBorders>
              <w:top w:val="single" w:sz="4" w:space="0" w:color="000000"/>
              <w:left w:val="single" w:sz="4" w:space="0" w:color="000000"/>
              <w:bottom w:val="single" w:sz="4" w:space="0" w:color="000000"/>
              <w:right w:val="single" w:sz="4" w:space="0" w:color="000000"/>
            </w:tcBorders>
          </w:tcPr>
          <w:p w14:paraId="6C3096F7" w14:textId="77777777" w:rsidR="00151952"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ОК 31 Терапевтична стоматологія</w:t>
            </w:r>
          </w:p>
        </w:tc>
      </w:tr>
      <w:tr w:rsidR="00151952" w14:paraId="47987DC2" w14:textId="77777777">
        <w:tc>
          <w:tcPr>
            <w:tcW w:w="2802" w:type="dxa"/>
            <w:tcBorders>
              <w:top w:val="single" w:sz="4" w:space="0" w:color="000000"/>
              <w:left w:val="single" w:sz="4" w:space="0" w:color="000000"/>
              <w:bottom w:val="single" w:sz="4" w:space="0" w:color="000000"/>
              <w:right w:val="single" w:sz="4" w:space="0" w:color="000000"/>
            </w:tcBorders>
          </w:tcPr>
          <w:p w14:paraId="1FA0EE64" w14:textId="77777777" w:rsidR="00151952"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Тема заняття № 7</w:t>
            </w:r>
          </w:p>
        </w:tc>
        <w:tc>
          <w:tcPr>
            <w:tcW w:w="6769" w:type="dxa"/>
            <w:tcBorders>
              <w:top w:val="single" w:sz="4" w:space="0" w:color="000000"/>
              <w:left w:val="single" w:sz="4" w:space="0" w:color="000000"/>
              <w:bottom w:val="single" w:sz="4" w:space="0" w:color="000000"/>
              <w:right w:val="single" w:sz="4" w:space="0" w:color="000000"/>
            </w:tcBorders>
          </w:tcPr>
          <w:p w14:paraId="7BE627F9" w14:textId="77777777" w:rsidR="00151952"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Лікування карієсу (початкового, поверхневого, середнього)</w:t>
            </w:r>
          </w:p>
        </w:tc>
      </w:tr>
      <w:tr w:rsidR="00151952" w14:paraId="7FADDD77" w14:textId="77777777">
        <w:tc>
          <w:tcPr>
            <w:tcW w:w="2802" w:type="dxa"/>
            <w:tcBorders>
              <w:top w:val="single" w:sz="4" w:space="0" w:color="000000"/>
              <w:left w:val="single" w:sz="4" w:space="0" w:color="000000"/>
              <w:bottom w:val="single" w:sz="4" w:space="0" w:color="000000"/>
              <w:right w:val="single" w:sz="4" w:space="0" w:color="000000"/>
            </w:tcBorders>
          </w:tcPr>
          <w:p w14:paraId="401D5085" w14:textId="77777777" w:rsidR="00151952"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Курс </w:t>
            </w:r>
          </w:p>
        </w:tc>
        <w:tc>
          <w:tcPr>
            <w:tcW w:w="6769" w:type="dxa"/>
            <w:tcBorders>
              <w:top w:val="single" w:sz="4" w:space="0" w:color="000000"/>
              <w:left w:val="single" w:sz="4" w:space="0" w:color="000000"/>
              <w:bottom w:val="single" w:sz="4" w:space="0" w:color="000000"/>
              <w:right w:val="single" w:sz="4" w:space="0" w:color="000000"/>
            </w:tcBorders>
          </w:tcPr>
          <w:p w14:paraId="3FA6DE60" w14:textId="77777777" w:rsidR="00151952"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інтернатура</w:t>
            </w:r>
          </w:p>
        </w:tc>
      </w:tr>
      <w:tr w:rsidR="00151952" w14:paraId="37A8B2FB" w14:textId="77777777">
        <w:tc>
          <w:tcPr>
            <w:tcW w:w="2802" w:type="dxa"/>
            <w:tcBorders>
              <w:top w:val="single" w:sz="4" w:space="0" w:color="000000"/>
              <w:left w:val="single" w:sz="4" w:space="0" w:color="000000"/>
              <w:bottom w:val="single" w:sz="4" w:space="0" w:color="000000"/>
              <w:right w:val="single" w:sz="4" w:space="0" w:color="000000"/>
            </w:tcBorders>
          </w:tcPr>
          <w:p w14:paraId="4C162134" w14:textId="77777777" w:rsidR="00151952"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Факультет</w:t>
            </w:r>
          </w:p>
        </w:tc>
        <w:tc>
          <w:tcPr>
            <w:tcW w:w="6769" w:type="dxa"/>
            <w:tcBorders>
              <w:top w:val="single" w:sz="4" w:space="0" w:color="000000"/>
              <w:left w:val="single" w:sz="4" w:space="0" w:color="000000"/>
              <w:bottom w:val="single" w:sz="4" w:space="0" w:color="000000"/>
              <w:right w:val="single" w:sz="4" w:space="0" w:color="000000"/>
            </w:tcBorders>
          </w:tcPr>
          <w:p w14:paraId="0804B537" w14:textId="77777777" w:rsidR="00151952"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стоматологічний</w:t>
            </w:r>
          </w:p>
        </w:tc>
      </w:tr>
      <w:tr w:rsidR="00151952" w14:paraId="6169514E" w14:textId="77777777">
        <w:tc>
          <w:tcPr>
            <w:tcW w:w="2802" w:type="dxa"/>
            <w:tcBorders>
              <w:top w:val="single" w:sz="4" w:space="0" w:color="000000"/>
              <w:left w:val="single" w:sz="4" w:space="0" w:color="000000"/>
              <w:bottom w:val="single" w:sz="4" w:space="0" w:color="000000"/>
              <w:right w:val="single" w:sz="4" w:space="0" w:color="000000"/>
            </w:tcBorders>
          </w:tcPr>
          <w:p w14:paraId="5DE72345" w14:textId="77777777" w:rsidR="00151952"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Укладач</w:t>
            </w:r>
          </w:p>
        </w:tc>
        <w:tc>
          <w:tcPr>
            <w:tcW w:w="6769" w:type="dxa"/>
            <w:tcBorders>
              <w:top w:val="single" w:sz="4" w:space="0" w:color="000000"/>
              <w:left w:val="single" w:sz="4" w:space="0" w:color="000000"/>
              <w:bottom w:val="single" w:sz="4" w:space="0" w:color="000000"/>
              <w:right w:val="single" w:sz="4" w:space="0" w:color="000000"/>
            </w:tcBorders>
          </w:tcPr>
          <w:p w14:paraId="0740F0FA" w14:textId="77777777" w:rsidR="00151952"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Доцент ЗВО Олена </w:t>
            </w:r>
            <w:r>
              <w:rPr>
                <w:rFonts w:ascii="Times New Roman" w:eastAsia="Times New Roman" w:hAnsi="Times New Roman" w:cs="Times New Roman"/>
                <w:smallCaps/>
                <w:color w:val="000000"/>
                <w:sz w:val="28"/>
                <w:szCs w:val="28"/>
              </w:rPr>
              <w:t>МУНТЯН</w:t>
            </w:r>
          </w:p>
        </w:tc>
      </w:tr>
    </w:tbl>
    <w:p w14:paraId="2060F6CD" w14:textId="77777777" w:rsidR="00151952" w:rsidRDefault="00151952">
      <w:pPr>
        <w:widowControl w:val="0"/>
        <w:spacing w:after="0" w:line="240" w:lineRule="auto"/>
        <w:ind w:firstLine="709"/>
        <w:jc w:val="both"/>
        <w:rPr>
          <w:rFonts w:ascii="Times New Roman" w:eastAsia="Times New Roman" w:hAnsi="Times New Roman" w:cs="Times New Roman"/>
          <w:color w:val="000000"/>
          <w:sz w:val="28"/>
          <w:szCs w:val="28"/>
        </w:rPr>
      </w:pPr>
    </w:p>
    <w:p w14:paraId="42E8EBAB" w14:textId="77777777" w:rsidR="00151952" w:rsidRDefault="00151952">
      <w:pPr>
        <w:widowControl w:val="0"/>
        <w:spacing w:after="0" w:line="240" w:lineRule="auto"/>
        <w:ind w:firstLine="709"/>
        <w:jc w:val="both"/>
        <w:rPr>
          <w:rFonts w:ascii="Times New Roman" w:eastAsia="Times New Roman" w:hAnsi="Times New Roman" w:cs="Times New Roman"/>
          <w:color w:val="000000"/>
          <w:sz w:val="28"/>
          <w:szCs w:val="28"/>
        </w:rPr>
      </w:pPr>
    </w:p>
    <w:p w14:paraId="7CA5C6C0" w14:textId="77777777" w:rsidR="00151952" w:rsidRDefault="00151952">
      <w:pPr>
        <w:widowControl w:val="0"/>
        <w:spacing w:after="0" w:line="240" w:lineRule="auto"/>
        <w:jc w:val="both"/>
        <w:rPr>
          <w:rFonts w:ascii="Times New Roman" w:eastAsia="Times New Roman" w:hAnsi="Times New Roman" w:cs="Times New Roman"/>
          <w:color w:val="000000"/>
          <w:sz w:val="28"/>
          <w:szCs w:val="28"/>
        </w:rPr>
      </w:pPr>
    </w:p>
    <w:p w14:paraId="7EC6A676" w14:textId="77777777" w:rsidR="00151952" w:rsidRDefault="00151952">
      <w:pPr>
        <w:widowControl w:val="0"/>
        <w:spacing w:after="0" w:line="240" w:lineRule="auto"/>
        <w:jc w:val="both"/>
        <w:rPr>
          <w:rFonts w:ascii="Times New Roman" w:eastAsia="Times New Roman" w:hAnsi="Times New Roman" w:cs="Times New Roman"/>
          <w:color w:val="000000"/>
          <w:sz w:val="28"/>
          <w:szCs w:val="28"/>
        </w:rPr>
      </w:pPr>
    </w:p>
    <w:p w14:paraId="25ED00AB" w14:textId="77777777" w:rsidR="00151952" w:rsidRDefault="00151952">
      <w:pPr>
        <w:widowControl w:val="0"/>
        <w:spacing w:after="0" w:line="240" w:lineRule="auto"/>
        <w:ind w:firstLine="709"/>
        <w:jc w:val="both"/>
        <w:rPr>
          <w:rFonts w:ascii="Times New Roman" w:eastAsia="Times New Roman" w:hAnsi="Times New Roman" w:cs="Times New Roman"/>
          <w:color w:val="000000"/>
          <w:sz w:val="28"/>
          <w:szCs w:val="28"/>
        </w:rPr>
      </w:pPr>
    </w:p>
    <w:p w14:paraId="103F6715" w14:textId="77777777" w:rsidR="00151952" w:rsidRDefault="00151952">
      <w:pPr>
        <w:widowControl w:val="0"/>
        <w:spacing w:after="0" w:line="240" w:lineRule="auto"/>
        <w:rPr>
          <w:rFonts w:ascii="Times New Roman" w:eastAsia="Times New Roman" w:hAnsi="Times New Roman" w:cs="Times New Roman"/>
          <w:color w:val="000000"/>
          <w:sz w:val="28"/>
          <w:szCs w:val="28"/>
        </w:rPr>
      </w:pPr>
    </w:p>
    <w:p w14:paraId="6B6244A0" w14:textId="77777777" w:rsidR="00151952" w:rsidRDefault="00151952">
      <w:pPr>
        <w:widowControl w:val="0"/>
        <w:spacing w:after="0" w:line="240" w:lineRule="auto"/>
        <w:rPr>
          <w:rFonts w:ascii="Times New Roman" w:eastAsia="Times New Roman" w:hAnsi="Times New Roman" w:cs="Times New Roman"/>
          <w:color w:val="000000"/>
          <w:sz w:val="28"/>
          <w:szCs w:val="28"/>
        </w:rPr>
      </w:pPr>
    </w:p>
    <w:p w14:paraId="33EFB094" w14:textId="77777777" w:rsidR="00151952" w:rsidRDefault="00151952">
      <w:pPr>
        <w:widowControl w:val="0"/>
        <w:spacing w:after="0" w:line="240" w:lineRule="auto"/>
        <w:rPr>
          <w:rFonts w:ascii="Times New Roman" w:eastAsia="Times New Roman" w:hAnsi="Times New Roman" w:cs="Times New Roman"/>
          <w:color w:val="000000"/>
          <w:sz w:val="28"/>
          <w:szCs w:val="28"/>
        </w:rPr>
      </w:pPr>
    </w:p>
    <w:p w14:paraId="0D55DA63" w14:textId="77777777" w:rsidR="00151952" w:rsidRDefault="00151952">
      <w:pPr>
        <w:widowControl w:val="0"/>
        <w:spacing w:after="0" w:line="240" w:lineRule="auto"/>
        <w:rPr>
          <w:rFonts w:ascii="Times New Roman" w:eastAsia="Times New Roman" w:hAnsi="Times New Roman" w:cs="Times New Roman"/>
          <w:color w:val="000000"/>
          <w:sz w:val="28"/>
          <w:szCs w:val="28"/>
        </w:rPr>
      </w:pPr>
    </w:p>
    <w:p w14:paraId="31A7B96B" w14:textId="77777777" w:rsidR="00151952" w:rsidRDefault="00151952">
      <w:pPr>
        <w:widowControl w:val="0"/>
        <w:spacing w:after="0" w:line="240" w:lineRule="auto"/>
        <w:rPr>
          <w:rFonts w:ascii="Times New Roman" w:eastAsia="Times New Roman" w:hAnsi="Times New Roman" w:cs="Times New Roman"/>
          <w:color w:val="000000"/>
          <w:sz w:val="28"/>
          <w:szCs w:val="28"/>
        </w:rPr>
      </w:pPr>
    </w:p>
    <w:p w14:paraId="0A811338" w14:textId="77777777" w:rsidR="00151952" w:rsidRDefault="00151952">
      <w:pPr>
        <w:widowControl w:val="0"/>
        <w:spacing w:after="0" w:line="240" w:lineRule="auto"/>
        <w:rPr>
          <w:rFonts w:ascii="Times New Roman" w:eastAsia="Times New Roman" w:hAnsi="Times New Roman" w:cs="Times New Roman"/>
          <w:color w:val="000000"/>
          <w:sz w:val="28"/>
          <w:szCs w:val="28"/>
        </w:rPr>
      </w:pPr>
    </w:p>
    <w:p w14:paraId="14CAFA8D" w14:textId="77777777" w:rsidR="00151952" w:rsidRDefault="00151952">
      <w:pPr>
        <w:widowControl w:val="0"/>
        <w:spacing w:after="0" w:line="240" w:lineRule="auto"/>
        <w:rPr>
          <w:rFonts w:ascii="Times New Roman" w:eastAsia="Times New Roman" w:hAnsi="Times New Roman" w:cs="Times New Roman"/>
          <w:color w:val="000000"/>
          <w:sz w:val="28"/>
          <w:szCs w:val="28"/>
        </w:rPr>
      </w:pPr>
    </w:p>
    <w:p w14:paraId="49FAB755" w14:textId="77777777" w:rsidR="00151952" w:rsidRDefault="00151952">
      <w:pPr>
        <w:widowControl w:val="0"/>
        <w:spacing w:after="0" w:line="240" w:lineRule="auto"/>
        <w:rPr>
          <w:rFonts w:ascii="Times New Roman" w:eastAsia="Times New Roman" w:hAnsi="Times New Roman" w:cs="Times New Roman"/>
          <w:color w:val="000000"/>
          <w:sz w:val="28"/>
          <w:szCs w:val="28"/>
        </w:rPr>
      </w:pPr>
    </w:p>
    <w:p w14:paraId="325815FD" w14:textId="77777777" w:rsidR="00151952" w:rsidRDefault="00151952">
      <w:pPr>
        <w:widowControl w:val="0"/>
        <w:spacing w:after="0" w:line="240" w:lineRule="auto"/>
        <w:ind w:firstLine="709"/>
        <w:jc w:val="center"/>
        <w:rPr>
          <w:rFonts w:ascii="Times New Roman" w:eastAsia="Times New Roman" w:hAnsi="Times New Roman" w:cs="Times New Roman"/>
          <w:color w:val="000000"/>
          <w:sz w:val="28"/>
          <w:szCs w:val="28"/>
        </w:rPr>
      </w:pPr>
    </w:p>
    <w:p w14:paraId="78506A24" w14:textId="77777777" w:rsidR="00151952" w:rsidRDefault="00151952">
      <w:pPr>
        <w:widowControl w:val="0"/>
        <w:spacing w:after="0" w:line="240" w:lineRule="auto"/>
        <w:ind w:firstLine="709"/>
        <w:jc w:val="center"/>
        <w:rPr>
          <w:rFonts w:ascii="Times New Roman" w:eastAsia="Times New Roman" w:hAnsi="Times New Roman" w:cs="Times New Roman"/>
          <w:color w:val="000000"/>
          <w:sz w:val="28"/>
          <w:szCs w:val="28"/>
        </w:rPr>
      </w:pPr>
    </w:p>
    <w:p w14:paraId="4004E21C" w14:textId="77777777" w:rsidR="00151952" w:rsidRDefault="00151952">
      <w:pPr>
        <w:widowControl w:val="0"/>
        <w:spacing w:after="0" w:line="240" w:lineRule="auto"/>
        <w:ind w:firstLine="709"/>
        <w:jc w:val="center"/>
        <w:rPr>
          <w:rFonts w:ascii="Times New Roman" w:eastAsia="Times New Roman" w:hAnsi="Times New Roman" w:cs="Times New Roman"/>
          <w:color w:val="000000"/>
          <w:sz w:val="28"/>
          <w:szCs w:val="28"/>
        </w:rPr>
      </w:pPr>
    </w:p>
    <w:p w14:paraId="16632FE7" w14:textId="77777777" w:rsidR="00151952" w:rsidRDefault="00000000">
      <w:pPr>
        <w:widowControl w:val="0"/>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Вінниця – 202</w:t>
      </w:r>
      <w:r>
        <w:rPr>
          <w:rFonts w:ascii="Times New Roman" w:eastAsia="Times New Roman" w:hAnsi="Times New Roman" w:cs="Times New Roman"/>
          <w:sz w:val="28"/>
          <w:szCs w:val="28"/>
        </w:rPr>
        <w:t>5</w:t>
      </w:r>
    </w:p>
    <w:p w14:paraId="763181B0" w14:textId="77777777" w:rsidR="00151952" w:rsidRDefault="00151952">
      <w:pPr>
        <w:spacing w:after="0" w:line="240" w:lineRule="auto"/>
        <w:jc w:val="center"/>
        <w:rPr>
          <w:rFonts w:ascii="Times New Roman" w:eastAsia="Times New Roman" w:hAnsi="Times New Roman" w:cs="Times New Roman"/>
          <w:b/>
          <w:sz w:val="24"/>
          <w:szCs w:val="24"/>
        </w:rPr>
      </w:pPr>
    </w:p>
    <w:p w14:paraId="644935CC" w14:textId="77777777" w:rsidR="00151952" w:rsidRDefault="00151952">
      <w:pPr>
        <w:spacing w:after="0" w:line="240" w:lineRule="auto"/>
        <w:jc w:val="center"/>
        <w:rPr>
          <w:rFonts w:ascii="Times New Roman" w:eastAsia="Times New Roman" w:hAnsi="Times New Roman" w:cs="Times New Roman"/>
          <w:b/>
          <w:sz w:val="24"/>
          <w:szCs w:val="24"/>
        </w:rPr>
      </w:pPr>
    </w:p>
    <w:p w14:paraId="67A1AC7F" w14:textId="77777777" w:rsidR="00151952"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Тема 7.</w:t>
      </w:r>
    </w:p>
    <w:p w14:paraId="406378BA" w14:textId="77777777" w:rsidR="00151952"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Лікування карієсу (початкового, поверхневого, середнього).</w:t>
      </w:r>
    </w:p>
    <w:p w14:paraId="431B4353" w14:textId="77777777" w:rsidR="00151952" w:rsidRDefault="00151952">
      <w:pPr>
        <w:spacing w:after="0" w:line="240" w:lineRule="auto"/>
        <w:jc w:val="center"/>
        <w:rPr>
          <w:rFonts w:ascii="Times New Roman" w:eastAsia="Times New Roman" w:hAnsi="Times New Roman" w:cs="Times New Roman"/>
          <w:b/>
          <w:sz w:val="24"/>
          <w:szCs w:val="24"/>
        </w:rPr>
      </w:pPr>
    </w:p>
    <w:p w14:paraId="07F29322" w14:textId="77777777" w:rsidR="00151952"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Мета практичного заняття:</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1. Вивчити патоморфологію, клініку, діагностику, диференційну діагностику гострого глибокого карієсу.</w:t>
      </w:r>
      <w:r>
        <w:rPr>
          <w:rFonts w:ascii="Times New Roman" w:eastAsia="Times New Roman" w:hAnsi="Times New Roman" w:cs="Times New Roman"/>
          <w:sz w:val="24"/>
          <w:szCs w:val="24"/>
        </w:rPr>
        <w:br/>
        <w:t>2. Оволодіти навичками лікування карієсу.</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Завдання на формування початкового рівня знань:</w:t>
      </w:r>
      <w:r>
        <w:rPr>
          <w:rFonts w:ascii="Times New Roman" w:eastAsia="Times New Roman" w:hAnsi="Times New Roman" w:cs="Times New Roman"/>
          <w:sz w:val="24"/>
          <w:szCs w:val="24"/>
        </w:rPr>
        <w:br/>
        <w:t>1. Основні та додаткові методи обстеження хворих карієсом  зубів.</w:t>
      </w:r>
      <w:r>
        <w:rPr>
          <w:rFonts w:ascii="Times New Roman" w:eastAsia="Times New Roman" w:hAnsi="Times New Roman" w:cs="Times New Roman"/>
          <w:sz w:val="24"/>
          <w:szCs w:val="24"/>
        </w:rPr>
        <w:br/>
        <w:t>2. Клініку, діагностику, диференційну діагностику гострого глибокого карієсу.</w:t>
      </w:r>
      <w:r>
        <w:rPr>
          <w:rFonts w:ascii="Times New Roman" w:eastAsia="Times New Roman" w:hAnsi="Times New Roman" w:cs="Times New Roman"/>
          <w:sz w:val="24"/>
          <w:szCs w:val="24"/>
        </w:rPr>
        <w:br/>
        <w:t>3. Знати методи і засоби знеболювання при лікуванні карієсу.</w:t>
      </w:r>
      <w:r>
        <w:rPr>
          <w:rFonts w:ascii="Times New Roman" w:eastAsia="Times New Roman" w:hAnsi="Times New Roman" w:cs="Times New Roman"/>
          <w:sz w:val="24"/>
          <w:szCs w:val="24"/>
        </w:rPr>
        <w:br/>
        <w:t>4. Знати правила надання невідкладної допомоги при виникненні ускладнень під час знеболювання.</w:t>
      </w:r>
      <w:r>
        <w:rPr>
          <w:rFonts w:ascii="Times New Roman" w:eastAsia="Times New Roman" w:hAnsi="Times New Roman" w:cs="Times New Roman"/>
          <w:sz w:val="24"/>
          <w:szCs w:val="24"/>
        </w:rPr>
        <w:br/>
        <w:t>5. Знати лікувальні прокладочні матеріали та матеріали для тимчасового пломбування.</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br/>
        <w:t>Література:</w:t>
      </w:r>
    </w:p>
    <w:p w14:paraId="000339E0" w14:textId="77777777" w:rsidR="00151952" w:rsidRDefault="00000000">
      <w:pPr>
        <w:numPr>
          <w:ilvl w:val="0"/>
          <w:numId w:val="2"/>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Стоматологічні захворювання: терапевтична стоматологія: підручник / А.В. Борисенко, М.Ю. Антоненко, Л.В. Линовицька та ін.; за ред. А.В. Борисенка. – К. : ВСВ “Медицина”, 2017. – 664 с</w:t>
      </w:r>
    </w:p>
    <w:p w14:paraId="16CFF489" w14:textId="77777777" w:rsidR="00151952" w:rsidRDefault="00000000">
      <w:pPr>
        <w:numPr>
          <w:ilvl w:val="0"/>
          <w:numId w:val="2"/>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Терапевтична стоматологія: підручник у 4т.-Т.4.Захворювання слизової оболонки порожнини рота /М.Ф.Данилевський,А.В.Борисенко,О.Ф.Несин та ін.-Вид.2-ВСВ “Медицина” 2021.-640с.</w:t>
      </w:r>
    </w:p>
    <w:p w14:paraId="42E4DB0D" w14:textId="77777777" w:rsidR="00151952" w:rsidRDefault="00000000">
      <w:pPr>
        <w:numPr>
          <w:ilvl w:val="0"/>
          <w:numId w:val="2"/>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Збірник алгоритмів виконання практичних навичок при проведенні атестації випусників за спеціальністю “Стоматологія” Навчальний посібник; М.М.Рожко, Г.М.Ерстенюк, О.В.Бугерчук та ін – Івано-Франківськ: Видавництво ІФНМУ, 2020.-356 с. </w:t>
      </w:r>
    </w:p>
    <w:p w14:paraId="60B45AA0" w14:textId="77777777" w:rsidR="00151952" w:rsidRDefault="00000000">
      <w:pPr>
        <w:numPr>
          <w:ilvl w:val="0"/>
          <w:numId w:val="2"/>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Захворювання слизової оболонки ротової порожнини: навчальний посібник (ВНЗ IV р. а.) / І.І. Кириленко, І.В. Палійчук, М.М. Рожко-К.: «Медицина»,2016.-362 с</w:t>
      </w:r>
    </w:p>
    <w:p w14:paraId="020586A4" w14:textId="77777777" w:rsidR="00151952" w:rsidRDefault="00000000">
      <w:pPr>
        <w:numPr>
          <w:ilvl w:val="0"/>
          <w:numId w:val="2"/>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Терапевтична</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стоматологія: Захворювання слизової оболонки порожнини рота та червоної кайми губ : навчально методичний посібник до практичних занять з терапевтичної стоматології для студентів 5-го курсу стоматологічного факультету / О. М. Богдан, І. М. Богдан – Ужгород : 2024 – 268 с.</w:t>
      </w:r>
    </w:p>
    <w:p w14:paraId="290B053D" w14:textId="77777777" w:rsidR="00151952" w:rsidRDefault="00000000">
      <w:pPr>
        <w:numPr>
          <w:ilvl w:val="0"/>
          <w:numId w:val="2"/>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Додаткові методи обстеження у стоматології: навчальний посібник [Гасюк Н.В., Черняк В.В., Клітинська О.В., Бородач В.О. та ін.] – Тернопіль: 2017.- 120 с</w:t>
      </w:r>
    </w:p>
    <w:p w14:paraId="26D4CFD4" w14:textId="77777777" w:rsidR="00151952" w:rsidRDefault="00000000">
      <w:pPr>
        <w:numPr>
          <w:ilvl w:val="0"/>
          <w:numId w:val="2"/>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Батіг В.М. Систематизоване викладення змісту навчальної дисципліни «Терапевтична стоматологія». Навчальний посібник. / В.М.Батіг, В.І.Струк. – Чернівці, 2016. – 227 с.</w:t>
      </w:r>
    </w:p>
    <w:p w14:paraId="4D35BA40" w14:textId="77777777" w:rsidR="00151952" w:rsidRDefault="00000000">
      <w:pPr>
        <w:numPr>
          <w:ilvl w:val="0"/>
          <w:numId w:val="2"/>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Пропедевтика терапевтичної стоматології [Текст]: підруч. для студ. стом. факул. вищ. навч. закл. МОЗ України / Марченко І.Я., Назаренко З.Ю., Павленко С.А. та ін..; під заг. ред. Ткаченко І.М.; ВДНЗУ «УМСА» – Полтава: ТОВ «АСМІ», 2016 р. – 439 с.</w:t>
      </w:r>
    </w:p>
    <w:p w14:paraId="213718F8" w14:textId="77777777" w:rsidR="00151952" w:rsidRDefault="00000000">
      <w:pPr>
        <w:numPr>
          <w:ilvl w:val="0"/>
          <w:numId w:val="2"/>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Клінічний практикум із терапевтичної стоматології: Навчальний посібник. / Т. О. Петрушанко, Л. Й. Островська, Н. М. Іленко. – Київ: “Центр учбової літератури”, 2019. – 260 с</w:t>
      </w:r>
    </w:p>
    <w:p w14:paraId="59C5B543" w14:textId="77777777" w:rsidR="00151952" w:rsidRDefault="00000000">
      <w:pPr>
        <w:numPr>
          <w:ilvl w:val="0"/>
          <w:numId w:val="2"/>
        </w:numPr>
        <w:tabs>
          <w:tab w:val="center" w:pos="851"/>
        </w:tabs>
        <w:spacing w:after="0" w:line="240" w:lineRule="auto"/>
        <w:ind w:hanging="360"/>
        <w:jc w:val="both"/>
        <w:rPr>
          <w:rFonts w:ascii="Times New Roman" w:eastAsia="Times New Roman" w:hAnsi="Times New Roman" w:cs="Times New Roman"/>
          <w:i/>
        </w:rPr>
      </w:pPr>
      <w:hyperlink r:id="rId7">
        <w:r>
          <w:rPr>
            <w:rFonts w:ascii="Times New Roman" w:eastAsia="Times New Roman" w:hAnsi="Times New Roman" w:cs="Times New Roman"/>
            <w:color w:val="0000FF"/>
            <w:sz w:val="24"/>
            <w:szCs w:val="24"/>
            <w:u w:val="single"/>
          </w:rPr>
          <w:t>https://www.academia.edu/40009330/ORAL_PATHOLOGY_AND_ORAL_MEDICINE</w:t>
        </w:r>
      </w:hyperlink>
    </w:p>
    <w:p w14:paraId="10C7BD02" w14:textId="77777777" w:rsidR="00151952" w:rsidRDefault="00151952">
      <w:pPr>
        <w:shd w:val="clear" w:color="auto" w:fill="F5F5F5"/>
        <w:spacing w:after="0" w:line="240" w:lineRule="auto"/>
        <w:rPr>
          <w:rFonts w:ascii="Times New Roman" w:eastAsia="Times New Roman" w:hAnsi="Times New Roman" w:cs="Times New Roman"/>
          <w:b/>
          <w:sz w:val="24"/>
          <w:szCs w:val="24"/>
        </w:rPr>
      </w:pPr>
    </w:p>
    <w:p w14:paraId="59AABE42" w14:textId="77777777" w:rsidR="00151952" w:rsidRDefault="00151952">
      <w:pPr>
        <w:shd w:val="clear" w:color="auto" w:fill="F5F5F5"/>
        <w:spacing w:after="0" w:line="240" w:lineRule="auto"/>
        <w:rPr>
          <w:rFonts w:ascii="Times New Roman" w:eastAsia="Times New Roman" w:hAnsi="Times New Roman" w:cs="Times New Roman"/>
          <w:b/>
          <w:sz w:val="24"/>
          <w:szCs w:val="24"/>
        </w:rPr>
      </w:pPr>
    </w:p>
    <w:p w14:paraId="0651BD3A" w14:textId="77777777" w:rsidR="00151952" w:rsidRDefault="00151952">
      <w:pPr>
        <w:shd w:val="clear" w:color="auto" w:fill="F5F5F5"/>
        <w:spacing w:after="0" w:line="240" w:lineRule="auto"/>
        <w:rPr>
          <w:rFonts w:ascii="Times New Roman" w:eastAsia="Times New Roman" w:hAnsi="Times New Roman" w:cs="Times New Roman"/>
          <w:b/>
          <w:sz w:val="24"/>
          <w:szCs w:val="24"/>
        </w:rPr>
      </w:pPr>
    </w:p>
    <w:p w14:paraId="08D505FB" w14:textId="77777777" w:rsidR="00151952" w:rsidRDefault="00151952">
      <w:pPr>
        <w:shd w:val="clear" w:color="auto" w:fill="F5F5F5"/>
        <w:spacing w:after="0" w:line="240" w:lineRule="auto"/>
        <w:rPr>
          <w:rFonts w:ascii="Times New Roman" w:eastAsia="Times New Roman" w:hAnsi="Times New Roman" w:cs="Times New Roman"/>
          <w:b/>
          <w:sz w:val="24"/>
          <w:szCs w:val="24"/>
        </w:rPr>
      </w:pPr>
    </w:p>
    <w:p w14:paraId="6F533297" w14:textId="77777777" w:rsidR="00151952" w:rsidRDefault="00151952">
      <w:pPr>
        <w:shd w:val="clear" w:color="auto" w:fill="F5F5F5"/>
        <w:spacing w:after="0" w:line="240" w:lineRule="auto"/>
        <w:rPr>
          <w:rFonts w:ascii="Times New Roman" w:eastAsia="Times New Roman" w:hAnsi="Times New Roman" w:cs="Times New Roman"/>
          <w:b/>
          <w:sz w:val="24"/>
          <w:szCs w:val="24"/>
        </w:rPr>
      </w:pPr>
    </w:p>
    <w:p w14:paraId="65C8C4D6" w14:textId="77777777" w:rsidR="00151952" w:rsidRDefault="00151952">
      <w:pPr>
        <w:shd w:val="clear" w:color="auto" w:fill="F5F5F5"/>
        <w:spacing w:after="0" w:line="240" w:lineRule="auto"/>
        <w:rPr>
          <w:rFonts w:ascii="Times New Roman" w:eastAsia="Times New Roman" w:hAnsi="Times New Roman" w:cs="Times New Roman"/>
          <w:b/>
          <w:sz w:val="24"/>
          <w:szCs w:val="24"/>
        </w:rPr>
      </w:pPr>
    </w:p>
    <w:p w14:paraId="62343ADA" w14:textId="77777777" w:rsidR="00151952" w:rsidRDefault="00151952">
      <w:pPr>
        <w:shd w:val="clear" w:color="auto" w:fill="F5F5F5"/>
        <w:spacing w:after="0" w:line="240" w:lineRule="auto"/>
        <w:rPr>
          <w:rFonts w:ascii="Times New Roman" w:eastAsia="Times New Roman" w:hAnsi="Times New Roman" w:cs="Times New Roman"/>
          <w:b/>
          <w:sz w:val="24"/>
          <w:szCs w:val="24"/>
        </w:rPr>
      </w:pPr>
    </w:p>
    <w:p w14:paraId="08C2B9BB" w14:textId="77777777" w:rsidR="00151952" w:rsidRDefault="00151952">
      <w:pPr>
        <w:shd w:val="clear" w:color="auto" w:fill="F5F5F5"/>
        <w:spacing w:after="0" w:line="240" w:lineRule="auto"/>
        <w:rPr>
          <w:rFonts w:ascii="Times New Roman" w:eastAsia="Times New Roman" w:hAnsi="Times New Roman" w:cs="Times New Roman"/>
          <w:b/>
          <w:sz w:val="24"/>
          <w:szCs w:val="24"/>
        </w:rPr>
      </w:pPr>
    </w:p>
    <w:p w14:paraId="315BEA11" w14:textId="77777777" w:rsidR="00151952" w:rsidRDefault="00151952">
      <w:pPr>
        <w:shd w:val="clear" w:color="auto" w:fill="F5F5F5"/>
        <w:spacing w:after="0" w:line="240" w:lineRule="auto"/>
        <w:rPr>
          <w:rFonts w:ascii="Times New Roman" w:eastAsia="Times New Roman" w:hAnsi="Times New Roman" w:cs="Times New Roman"/>
          <w:b/>
          <w:sz w:val="24"/>
          <w:szCs w:val="24"/>
        </w:rPr>
      </w:pPr>
    </w:p>
    <w:p w14:paraId="2E2F4B52" w14:textId="77777777" w:rsidR="00151952" w:rsidRDefault="00000000">
      <w:pPr>
        <w:shd w:val="clear" w:color="auto" w:fill="F5F5F5"/>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Завдання для контролю вихідного рівня знань:</w:t>
      </w:r>
      <w:r>
        <w:rPr>
          <w:rFonts w:ascii="Times New Roman" w:eastAsia="Times New Roman" w:hAnsi="Times New Roman" w:cs="Times New Roman"/>
          <w:b/>
          <w:sz w:val="24"/>
          <w:szCs w:val="24"/>
        </w:rPr>
        <w:br/>
      </w:r>
    </w:p>
    <w:tbl>
      <w:tblPr>
        <w:tblStyle w:val="aa"/>
        <w:tblW w:w="10773" w:type="dxa"/>
        <w:tblInd w:w="-81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835"/>
        <w:gridCol w:w="1276"/>
        <w:gridCol w:w="6662"/>
      </w:tblGrid>
      <w:tr w:rsidR="00151952" w14:paraId="5FBF9FA3" w14:textId="77777777">
        <w:trPr>
          <w:cantSplit/>
        </w:trPr>
        <w:tc>
          <w:tcPr>
            <w:tcW w:w="2835" w:type="dxa"/>
            <w:tcBorders>
              <w:bottom w:val="nil"/>
            </w:tcBorders>
          </w:tcPr>
          <w:p w14:paraId="676944A8"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Питання</w:t>
            </w:r>
          </w:p>
        </w:tc>
        <w:tc>
          <w:tcPr>
            <w:tcW w:w="1276" w:type="dxa"/>
            <w:tcBorders>
              <w:bottom w:val="nil"/>
            </w:tcBorders>
          </w:tcPr>
          <w:p w14:paraId="4C7BBFE4" w14:textId="77777777" w:rsidR="00151952"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Рівень засвоєння</w:t>
            </w:r>
          </w:p>
        </w:tc>
        <w:tc>
          <w:tcPr>
            <w:tcW w:w="6662" w:type="dxa"/>
          </w:tcPr>
          <w:p w14:paraId="427D6605"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Еталон відповіді</w:t>
            </w:r>
          </w:p>
        </w:tc>
      </w:tr>
      <w:tr w:rsidR="00151952" w14:paraId="2C06C260" w14:textId="77777777">
        <w:trPr>
          <w:cantSplit/>
          <w:trHeight w:val="2086"/>
        </w:trPr>
        <w:tc>
          <w:tcPr>
            <w:tcW w:w="2835" w:type="dxa"/>
            <w:tcBorders>
              <w:top w:val="single" w:sz="4" w:space="0" w:color="000000"/>
            </w:tcBorders>
          </w:tcPr>
          <w:p w14:paraId="555C178A"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Назвіть властивості та представників паст на основі цинк-евгенолу.</w:t>
            </w:r>
          </w:p>
        </w:tc>
        <w:tc>
          <w:tcPr>
            <w:tcW w:w="1276" w:type="dxa"/>
            <w:tcBorders>
              <w:top w:val="single" w:sz="4" w:space="0" w:color="000000"/>
            </w:tcBorders>
          </w:tcPr>
          <w:p w14:paraId="48FFF57B" w14:textId="77777777" w:rsidR="00151952"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ІІІ</w:t>
            </w:r>
          </w:p>
        </w:tc>
        <w:tc>
          <w:tcPr>
            <w:tcW w:w="6662" w:type="dxa"/>
            <w:tcBorders>
              <w:top w:val="single" w:sz="4" w:space="0" w:color="000000"/>
            </w:tcBorders>
          </w:tcPr>
          <w:p w14:paraId="1E793C30" w14:textId="77777777" w:rsidR="0015195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Антисептична, знеболююча, одонтотропна дія; твердіють протягом 10-12 год., низька міцність, порушують полімеризацію композиційних матеріалів. Представники: «Эодент», «Cariosan», «Templin», «IRM».</w:t>
            </w:r>
          </w:p>
        </w:tc>
      </w:tr>
    </w:tbl>
    <w:p w14:paraId="1A5B948D" w14:textId="77777777" w:rsidR="00151952" w:rsidRDefault="00000000">
      <w:pPr>
        <w:pBdr>
          <w:bottom w:val="single" w:sz="6" w:space="31" w:color="000000"/>
        </w:pBd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Питання, що підлягають вивченню на практичному занятті.</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 1. Основні принципи лікування гострого глибокого карієсу.</w:t>
      </w:r>
      <w:r>
        <w:rPr>
          <w:rFonts w:ascii="Times New Roman" w:eastAsia="Times New Roman" w:hAnsi="Times New Roman" w:cs="Times New Roman"/>
          <w:sz w:val="24"/>
          <w:szCs w:val="24"/>
        </w:rPr>
        <w:br/>
        <w:t> 2. Односеансний метод лікування гострого глибокого карієсу.</w:t>
      </w:r>
      <w:r>
        <w:rPr>
          <w:rFonts w:ascii="Times New Roman" w:eastAsia="Times New Roman" w:hAnsi="Times New Roman" w:cs="Times New Roman"/>
          <w:sz w:val="24"/>
          <w:szCs w:val="24"/>
        </w:rPr>
        <w:br/>
        <w:t> 3. Двосеансний метод лікування гострого глибокого карієсу.</w:t>
      </w:r>
      <w:r>
        <w:rPr>
          <w:rFonts w:ascii="Times New Roman" w:eastAsia="Times New Roman" w:hAnsi="Times New Roman" w:cs="Times New Roman"/>
          <w:sz w:val="24"/>
          <w:szCs w:val="24"/>
        </w:rPr>
        <w:br/>
        <w:t> 4. Групи, властивості і методики використання лікувальних паст</w:t>
      </w:r>
    </w:p>
    <w:p w14:paraId="465E9720" w14:textId="77777777" w:rsidR="00151952" w:rsidRDefault="00151952">
      <w:pPr>
        <w:spacing w:after="0" w:line="240" w:lineRule="auto"/>
        <w:jc w:val="center"/>
        <w:rPr>
          <w:rFonts w:ascii="Times New Roman" w:eastAsia="Times New Roman" w:hAnsi="Times New Roman" w:cs="Times New Roman"/>
          <w:b/>
          <w:sz w:val="24"/>
          <w:szCs w:val="24"/>
        </w:rPr>
      </w:pPr>
    </w:p>
    <w:p w14:paraId="35D87F6A" w14:textId="77777777" w:rsidR="00151952"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Схема ООД:</w:t>
      </w:r>
    </w:p>
    <w:p w14:paraId="4D9CE8B6" w14:textId="77777777" w:rsidR="00151952"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“Лікування гострого поверхневого карієсу”.</w:t>
      </w:r>
    </w:p>
    <w:p w14:paraId="17987AD7" w14:textId="77777777" w:rsidR="00151952" w:rsidRDefault="00151952">
      <w:pPr>
        <w:spacing w:after="0" w:line="240" w:lineRule="auto"/>
        <w:jc w:val="both"/>
        <w:rPr>
          <w:rFonts w:ascii="Times New Roman" w:eastAsia="Times New Roman" w:hAnsi="Times New Roman" w:cs="Times New Roman"/>
          <w:sz w:val="24"/>
          <w:szCs w:val="24"/>
        </w:rPr>
      </w:pPr>
    </w:p>
    <w:tbl>
      <w:tblPr>
        <w:tblStyle w:val="ab"/>
        <w:tblW w:w="11014" w:type="dxa"/>
        <w:tblInd w:w="-10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25"/>
        <w:gridCol w:w="1843"/>
        <w:gridCol w:w="3827"/>
        <w:gridCol w:w="4919"/>
      </w:tblGrid>
      <w:tr w:rsidR="00151952" w14:paraId="43FBFB3F" w14:textId="77777777">
        <w:tc>
          <w:tcPr>
            <w:tcW w:w="425" w:type="dxa"/>
          </w:tcPr>
          <w:p w14:paraId="4FAD5316" w14:textId="77777777" w:rsidR="00151952"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843" w:type="dxa"/>
          </w:tcPr>
          <w:p w14:paraId="475949AF" w14:textId="77777777" w:rsidR="00151952"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Компоненти дії</w:t>
            </w:r>
          </w:p>
        </w:tc>
        <w:tc>
          <w:tcPr>
            <w:tcW w:w="3827" w:type="dxa"/>
          </w:tcPr>
          <w:p w14:paraId="476C9E7B" w14:textId="77777777" w:rsidR="00151952"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Засоби лікування</w:t>
            </w:r>
          </w:p>
        </w:tc>
        <w:tc>
          <w:tcPr>
            <w:tcW w:w="4919" w:type="dxa"/>
          </w:tcPr>
          <w:p w14:paraId="2D08C1B5" w14:textId="77777777" w:rsidR="00151952"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Критерії самоконтролю</w:t>
            </w:r>
          </w:p>
        </w:tc>
      </w:tr>
      <w:tr w:rsidR="00151952" w14:paraId="27D9FABF" w14:textId="77777777">
        <w:tc>
          <w:tcPr>
            <w:tcW w:w="425" w:type="dxa"/>
            <w:tcBorders>
              <w:bottom w:val="nil"/>
            </w:tcBorders>
          </w:tcPr>
          <w:p w14:paraId="34E26618" w14:textId="77777777" w:rsidR="00151952"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843" w:type="dxa"/>
            <w:tcBorders>
              <w:bottom w:val="nil"/>
            </w:tcBorders>
          </w:tcPr>
          <w:p w14:paraId="6C738820"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Знеболення твердих тканин зуба</w:t>
            </w:r>
          </w:p>
        </w:tc>
        <w:tc>
          <w:tcPr>
            <w:tcW w:w="3827" w:type="dxa"/>
            <w:tcBorders>
              <w:bottom w:val="nil"/>
            </w:tcBorders>
          </w:tcPr>
          <w:p w14:paraId="273A1290"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Карпульний шприц, анестетик.</w:t>
            </w:r>
          </w:p>
        </w:tc>
        <w:tc>
          <w:tcPr>
            <w:tcW w:w="4919" w:type="dxa"/>
            <w:tcBorders>
              <w:bottom w:val="nil"/>
            </w:tcBorders>
          </w:tcPr>
          <w:p w14:paraId="79E6D72E"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Зняття больового симптому при препаруванні створює комфорт під час лікування хворого</w:t>
            </w:r>
          </w:p>
        </w:tc>
      </w:tr>
      <w:tr w:rsidR="00151952" w14:paraId="1B68329D" w14:textId="77777777">
        <w:tc>
          <w:tcPr>
            <w:tcW w:w="425" w:type="dxa"/>
            <w:tcBorders>
              <w:top w:val="nil"/>
              <w:bottom w:val="nil"/>
            </w:tcBorders>
          </w:tcPr>
          <w:p w14:paraId="70752EC0" w14:textId="77777777" w:rsidR="00151952" w:rsidRDefault="00151952">
            <w:pPr>
              <w:spacing w:after="0" w:line="240" w:lineRule="auto"/>
              <w:jc w:val="right"/>
              <w:rPr>
                <w:rFonts w:ascii="Times New Roman" w:eastAsia="Times New Roman" w:hAnsi="Times New Roman" w:cs="Times New Roman"/>
                <w:sz w:val="24"/>
                <w:szCs w:val="24"/>
              </w:rPr>
            </w:pPr>
          </w:p>
        </w:tc>
        <w:tc>
          <w:tcPr>
            <w:tcW w:w="1843" w:type="dxa"/>
            <w:tcBorders>
              <w:top w:val="nil"/>
              <w:bottom w:val="nil"/>
            </w:tcBorders>
          </w:tcPr>
          <w:p w14:paraId="5A8F72E2" w14:textId="77777777" w:rsidR="00151952"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Ін’єкційне</w:t>
            </w:r>
          </w:p>
        </w:tc>
        <w:tc>
          <w:tcPr>
            <w:tcW w:w="3827" w:type="dxa"/>
            <w:tcBorders>
              <w:top w:val="nil"/>
              <w:bottom w:val="nil"/>
            </w:tcBorders>
          </w:tcPr>
          <w:p w14:paraId="4C37411C"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р-н новокаїну, тримекаїну, лідокаїну з 0,1% адреналіном, 2-4% р-н артикаїну.</w:t>
            </w:r>
          </w:p>
        </w:tc>
        <w:tc>
          <w:tcPr>
            <w:tcW w:w="4919" w:type="dxa"/>
            <w:tcBorders>
              <w:top w:val="nil"/>
              <w:bottom w:val="nil"/>
            </w:tcBorders>
          </w:tcPr>
          <w:p w14:paraId="7EC9B66B"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Через 15-20 хв. після ін’єкції – препарування не болюче</w:t>
            </w:r>
          </w:p>
        </w:tc>
      </w:tr>
      <w:tr w:rsidR="00151952" w14:paraId="2F892C8F" w14:textId="77777777">
        <w:tc>
          <w:tcPr>
            <w:tcW w:w="425" w:type="dxa"/>
            <w:tcBorders>
              <w:top w:val="nil"/>
              <w:bottom w:val="nil"/>
            </w:tcBorders>
          </w:tcPr>
          <w:p w14:paraId="076A81BD" w14:textId="77777777" w:rsidR="00151952" w:rsidRDefault="00151952">
            <w:pPr>
              <w:spacing w:after="0" w:line="240" w:lineRule="auto"/>
              <w:jc w:val="right"/>
              <w:rPr>
                <w:rFonts w:ascii="Times New Roman" w:eastAsia="Times New Roman" w:hAnsi="Times New Roman" w:cs="Times New Roman"/>
                <w:sz w:val="24"/>
                <w:szCs w:val="24"/>
              </w:rPr>
            </w:pPr>
          </w:p>
        </w:tc>
        <w:tc>
          <w:tcPr>
            <w:tcW w:w="1843" w:type="dxa"/>
            <w:tcBorders>
              <w:top w:val="nil"/>
              <w:bottom w:val="nil"/>
            </w:tcBorders>
          </w:tcPr>
          <w:p w14:paraId="1BFFD4D4" w14:textId="77777777" w:rsidR="00151952"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Аплікацій-не</w:t>
            </w:r>
          </w:p>
        </w:tc>
        <w:tc>
          <w:tcPr>
            <w:tcW w:w="3827" w:type="dxa"/>
            <w:tcBorders>
              <w:top w:val="nil"/>
              <w:bottom w:val="nil"/>
            </w:tcBorders>
          </w:tcPr>
          <w:p w14:paraId="40948017"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 р-н лідокаїну,5% піромекаїнова мазь, 4% р-н прополісу</w:t>
            </w:r>
          </w:p>
        </w:tc>
        <w:tc>
          <w:tcPr>
            <w:tcW w:w="4919" w:type="dxa"/>
            <w:tcBorders>
              <w:top w:val="nil"/>
              <w:bottom w:val="nil"/>
            </w:tcBorders>
          </w:tcPr>
          <w:p w14:paraId="1C02B93D"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Знеболення поверхневе і короткочасне</w:t>
            </w:r>
          </w:p>
        </w:tc>
      </w:tr>
      <w:tr w:rsidR="00151952" w14:paraId="787F71CA" w14:textId="77777777">
        <w:tc>
          <w:tcPr>
            <w:tcW w:w="425" w:type="dxa"/>
            <w:tcBorders>
              <w:top w:val="nil"/>
              <w:bottom w:val="nil"/>
            </w:tcBorders>
          </w:tcPr>
          <w:p w14:paraId="3C7F23CB" w14:textId="77777777" w:rsidR="00151952" w:rsidRDefault="00151952">
            <w:pPr>
              <w:spacing w:after="0" w:line="240" w:lineRule="auto"/>
              <w:jc w:val="right"/>
              <w:rPr>
                <w:rFonts w:ascii="Times New Roman" w:eastAsia="Times New Roman" w:hAnsi="Times New Roman" w:cs="Times New Roman"/>
                <w:sz w:val="24"/>
                <w:szCs w:val="24"/>
              </w:rPr>
            </w:pPr>
          </w:p>
        </w:tc>
        <w:tc>
          <w:tcPr>
            <w:tcW w:w="1843" w:type="dxa"/>
            <w:tcBorders>
              <w:top w:val="nil"/>
              <w:bottom w:val="nil"/>
            </w:tcBorders>
          </w:tcPr>
          <w:p w14:paraId="748D0546" w14:textId="77777777" w:rsidR="00151952"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Премедика-ція за 30-40 хв. до лікування</w:t>
            </w:r>
          </w:p>
        </w:tc>
        <w:tc>
          <w:tcPr>
            <w:tcW w:w="3827" w:type="dxa"/>
            <w:tcBorders>
              <w:top w:val="nil"/>
              <w:bottom w:val="nil"/>
            </w:tcBorders>
          </w:tcPr>
          <w:p w14:paraId="61104929"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Феназепам 0,001, седуксен 0,01, еленіум 0,01 та інші транквілізатори у комбінуванні з піроналом 0,5</w:t>
            </w:r>
          </w:p>
        </w:tc>
        <w:tc>
          <w:tcPr>
            <w:tcW w:w="4919" w:type="dxa"/>
            <w:tcBorders>
              <w:top w:val="nil"/>
              <w:bottom w:val="nil"/>
            </w:tcBorders>
          </w:tcPr>
          <w:p w14:paraId="48D3981D"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Знеболення та зниження емоційного напруження перед втручанням.</w:t>
            </w:r>
          </w:p>
        </w:tc>
      </w:tr>
      <w:tr w:rsidR="00151952" w14:paraId="2D881FD2" w14:textId="77777777">
        <w:tc>
          <w:tcPr>
            <w:tcW w:w="425" w:type="dxa"/>
            <w:tcBorders>
              <w:top w:val="nil"/>
              <w:bottom w:val="nil"/>
            </w:tcBorders>
          </w:tcPr>
          <w:p w14:paraId="4C3D49BE" w14:textId="77777777" w:rsidR="00151952" w:rsidRDefault="00151952">
            <w:pPr>
              <w:spacing w:after="0" w:line="240" w:lineRule="auto"/>
              <w:jc w:val="right"/>
              <w:rPr>
                <w:rFonts w:ascii="Times New Roman" w:eastAsia="Times New Roman" w:hAnsi="Times New Roman" w:cs="Times New Roman"/>
                <w:sz w:val="24"/>
                <w:szCs w:val="24"/>
              </w:rPr>
            </w:pPr>
          </w:p>
        </w:tc>
        <w:tc>
          <w:tcPr>
            <w:tcW w:w="1843" w:type="dxa"/>
            <w:tcBorders>
              <w:top w:val="nil"/>
              <w:bottom w:val="nil"/>
            </w:tcBorders>
          </w:tcPr>
          <w:p w14:paraId="6642E57F" w14:textId="77777777" w:rsidR="00151952"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Електро-знеболення</w:t>
            </w:r>
          </w:p>
        </w:tc>
        <w:tc>
          <w:tcPr>
            <w:tcW w:w="3827" w:type="dxa"/>
            <w:tcBorders>
              <w:top w:val="nil"/>
              <w:bottom w:val="nil"/>
            </w:tcBorders>
          </w:tcPr>
          <w:p w14:paraId="2F6B336C"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Апарати ЕЛОЗ-І, гр.-2, ІНААН-3, р-ни анестетиків</w:t>
            </w:r>
          </w:p>
        </w:tc>
        <w:tc>
          <w:tcPr>
            <w:tcW w:w="4919" w:type="dxa"/>
            <w:tcBorders>
              <w:top w:val="nil"/>
              <w:bottom w:val="nil"/>
            </w:tcBorders>
          </w:tcPr>
          <w:p w14:paraId="3EA07A7F"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Знеболення та зниження емоційного напруження перед втручанням</w:t>
            </w:r>
          </w:p>
        </w:tc>
      </w:tr>
      <w:tr w:rsidR="00151952" w14:paraId="451A3D7D" w14:textId="77777777">
        <w:tc>
          <w:tcPr>
            <w:tcW w:w="425" w:type="dxa"/>
            <w:tcBorders>
              <w:top w:val="nil"/>
            </w:tcBorders>
          </w:tcPr>
          <w:p w14:paraId="5A399248" w14:textId="77777777" w:rsidR="00151952" w:rsidRDefault="00151952">
            <w:pPr>
              <w:spacing w:after="0" w:line="240" w:lineRule="auto"/>
              <w:jc w:val="right"/>
              <w:rPr>
                <w:rFonts w:ascii="Times New Roman" w:eastAsia="Times New Roman" w:hAnsi="Times New Roman" w:cs="Times New Roman"/>
                <w:sz w:val="24"/>
                <w:szCs w:val="24"/>
              </w:rPr>
            </w:pPr>
          </w:p>
        </w:tc>
        <w:tc>
          <w:tcPr>
            <w:tcW w:w="1843" w:type="dxa"/>
            <w:tcBorders>
              <w:top w:val="nil"/>
            </w:tcBorders>
          </w:tcPr>
          <w:p w14:paraId="6DADA992" w14:textId="77777777" w:rsidR="00151952"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Загальний наркоз</w:t>
            </w:r>
          </w:p>
        </w:tc>
        <w:tc>
          <w:tcPr>
            <w:tcW w:w="3827" w:type="dxa"/>
            <w:tcBorders>
              <w:top w:val="nil"/>
            </w:tcBorders>
          </w:tcPr>
          <w:p w14:paraId="3A4F48F1"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Анестезіологічний кабінет фторотан, сомбревін та інші</w:t>
            </w:r>
          </w:p>
        </w:tc>
        <w:tc>
          <w:tcPr>
            <w:tcW w:w="4919" w:type="dxa"/>
            <w:tcBorders>
              <w:top w:val="nil"/>
            </w:tcBorders>
          </w:tcPr>
          <w:p w14:paraId="0EAE059E"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Зняття страху, неконтактності хворого при психічних розладах,наявності алергії на місцеві анестетики.</w:t>
            </w:r>
          </w:p>
        </w:tc>
      </w:tr>
      <w:tr w:rsidR="00151952" w14:paraId="2F6723E1" w14:textId="77777777">
        <w:tc>
          <w:tcPr>
            <w:tcW w:w="425" w:type="dxa"/>
          </w:tcPr>
          <w:p w14:paraId="1AB5BC01" w14:textId="77777777" w:rsidR="00151952"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843" w:type="dxa"/>
          </w:tcPr>
          <w:p w14:paraId="48FA32CD"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Препарування каріозної порожнини</w:t>
            </w:r>
          </w:p>
        </w:tc>
        <w:tc>
          <w:tcPr>
            <w:tcW w:w="3827" w:type="dxa"/>
          </w:tcPr>
          <w:p w14:paraId="417BC467"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Бори</w:t>
            </w:r>
          </w:p>
        </w:tc>
        <w:tc>
          <w:tcPr>
            <w:tcW w:w="4919" w:type="dxa"/>
          </w:tcPr>
          <w:p w14:paraId="442A8CC4"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Стінки сформованої порожнини тверді, дно плоске, краї без тріщин, зазубрин</w:t>
            </w:r>
          </w:p>
        </w:tc>
      </w:tr>
      <w:tr w:rsidR="00151952" w14:paraId="0AD043AB" w14:textId="77777777">
        <w:tc>
          <w:tcPr>
            <w:tcW w:w="425" w:type="dxa"/>
          </w:tcPr>
          <w:p w14:paraId="22D83F10" w14:textId="77777777" w:rsidR="00151952"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843" w:type="dxa"/>
          </w:tcPr>
          <w:p w14:paraId="5CF817DC"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Ізоляція зуба від ротової рідини</w:t>
            </w:r>
          </w:p>
        </w:tc>
        <w:tc>
          <w:tcPr>
            <w:tcW w:w="3827" w:type="dxa"/>
          </w:tcPr>
          <w:p w14:paraId="34B844F7"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Кофердам, ватні валики, слиновідсмоктувач</w:t>
            </w:r>
          </w:p>
        </w:tc>
        <w:tc>
          <w:tcPr>
            <w:tcW w:w="4919" w:type="dxa"/>
          </w:tcPr>
          <w:p w14:paraId="1C3A7CBE"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Відсутність вологи у ділянці операційного поля.</w:t>
            </w:r>
          </w:p>
        </w:tc>
      </w:tr>
      <w:tr w:rsidR="00151952" w14:paraId="30B00859" w14:textId="77777777">
        <w:tc>
          <w:tcPr>
            <w:tcW w:w="425" w:type="dxa"/>
          </w:tcPr>
          <w:p w14:paraId="72C0A4E6" w14:textId="77777777" w:rsidR="00151952"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843" w:type="dxa"/>
          </w:tcPr>
          <w:p w14:paraId="63830B15"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Медикаментозна обробка</w:t>
            </w:r>
          </w:p>
        </w:tc>
        <w:tc>
          <w:tcPr>
            <w:tcW w:w="3827" w:type="dxa"/>
          </w:tcPr>
          <w:p w14:paraId="354D0477"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р-н перекису водню</w:t>
            </w:r>
          </w:p>
        </w:tc>
        <w:tc>
          <w:tcPr>
            <w:tcW w:w="4919" w:type="dxa"/>
          </w:tcPr>
          <w:p w14:paraId="66B108EB"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Дно та стінки порожнини чисті без емалевх ошурків.</w:t>
            </w:r>
          </w:p>
        </w:tc>
      </w:tr>
      <w:tr w:rsidR="00151952" w14:paraId="52F768DC" w14:textId="77777777">
        <w:tc>
          <w:tcPr>
            <w:tcW w:w="425" w:type="dxa"/>
          </w:tcPr>
          <w:p w14:paraId="6C3D042A" w14:textId="77777777" w:rsidR="00151952"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843" w:type="dxa"/>
          </w:tcPr>
          <w:p w14:paraId="7BD5A42F"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Висушування </w:t>
            </w:r>
          </w:p>
        </w:tc>
        <w:tc>
          <w:tcPr>
            <w:tcW w:w="3827" w:type="dxa"/>
          </w:tcPr>
          <w:p w14:paraId="4E0892B0"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Тепле повітря</w:t>
            </w:r>
          </w:p>
        </w:tc>
        <w:tc>
          <w:tcPr>
            <w:tcW w:w="4919" w:type="dxa"/>
          </w:tcPr>
          <w:p w14:paraId="39F04E44"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Стінки порожнини сухі, недоступні для ротової рідини</w:t>
            </w:r>
          </w:p>
        </w:tc>
      </w:tr>
      <w:tr w:rsidR="00151952" w14:paraId="25176C4E" w14:textId="77777777">
        <w:tc>
          <w:tcPr>
            <w:tcW w:w="425" w:type="dxa"/>
          </w:tcPr>
          <w:p w14:paraId="787E97CF" w14:textId="77777777" w:rsidR="00151952"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6</w:t>
            </w:r>
          </w:p>
        </w:tc>
        <w:tc>
          <w:tcPr>
            <w:tcW w:w="1843" w:type="dxa"/>
          </w:tcPr>
          <w:p w14:paraId="2B92E2E0"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Пломбування </w:t>
            </w:r>
          </w:p>
        </w:tc>
        <w:tc>
          <w:tcPr>
            <w:tcW w:w="3827" w:type="dxa"/>
          </w:tcPr>
          <w:p w14:paraId="3D167CD3"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Постійні пломбувальні матеріали для різних груп зубів</w:t>
            </w:r>
          </w:p>
        </w:tc>
        <w:tc>
          <w:tcPr>
            <w:tcW w:w="4919" w:type="dxa"/>
          </w:tcPr>
          <w:p w14:paraId="22BF6F24"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Відновлення анатомічної форми зуба</w:t>
            </w:r>
          </w:p>
        </w:tc>
      </w:tr>
      <w:tr w:rsidR="00151952" w14:paraId="63896C87" w14:textId="77777777">
        <w:tc>
          <w:tcPr>
            <w:tcW w:w="425" w:type="dxa"/>
          </w:tcPr>
          <w:p w14:paraId="0EA2B6F8" w14:textId="77777777" w:rsidR="00151952"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1843" w:type="dxa"/>
          </w:tcPr>
          <w:p w14:paraId="1351F847"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Шліфування та полірування пломби</w:t>
            </w:r>
          </w:p>
        </w:tc>
        <w:tc>
          <w:tcPr>
            <w:tcW w:w="3827" w:type="dxa"/>
          </w:tcPr>
          <w:p w14:paraId="4AAE6767"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Фініри, карборундові головки</w:t>
            </w:r>
          </w:p>
        </w:tc>
        <w:tc>
          <w:tcPr>
            <w:tcW w:w="4919" w:type="dxa"/>
          </w:tcPr>
          <w:p w14:paraId="1FC1A952"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Поверхневий шар пломби ущільнюється, набуває стійкості та блиску</w:t>
            </w:r>
          </w:p>
        </w:tc>
      </w:tr>
    </w:tbl>
    <w:p w14:paraId="2A156AA9" w14:textId="77777777" w:rsidR="00151952" w:rsidRDefault="00151952">
      <w:pPr>
        <w:spacing w:after="0" w:line="240" w:lineRule="auto"/>
        <w:jc w:val="both"/>
        <w:rPr>
          <w:rFonts w:ascii="Times New Roman" w:eastAsia="Times New Roman" w:hAnsi="Times New Roman" w:cs="Times New Roman"/>
          <w:sz w:val="24"/>
          <w:szCs w:val="24"/>
        </w:rPr>
      </w:pPr>
    </w:p>
    <w:p w14:paraId="12A9934A" w14:textId="77777777" w:rsidR="00151952" w:rsidRDefault="00151952">
      <w:pPr>
        <w:shd w:val="clear" w:color="auto" w:fill="F5F5F5"/>
        <w:spacing w:after="0" w:line="240" w:lineRule="auto"/>
        <w:ind w:left="360"/>
        <w:rPr>
          <w:rFonts w:ascii="Times New Roman" w:eastAsia="Times New Roman" w:hAnsi="Times New Roman" w:cs="Times New Roman"/>
          <w:b/>
          <w:sz w:val="24"/>
          <w:szCs w:val="24"/>
        </w:rPr>
      </w:pPr>
    </w:p>
    <w:p w14:paraId="0E8432B6" w14:textId="77777777" w:rsidR="00151952"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Схема ООД</w:t>
      </w:r>
    </w:p>
    <w:p w14:paraId="009A25C5" w14:textId="77777777" w:rsidR="00151952"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“Лікування хронічного поверхневого карієсу(хірургічний метод) ”.</w:t>
      </w:r>
    </w:p>
    <w:p w14:paraId="34A7AC24" w14:textId="77777777" w:rsidR="00151952" w:rsidRDefault="00151952">
      <w:pPr>
        <w:spacing w:after="0" w:line="240" w:lineRule="auto"/>
        <w:jc w:val="both"/>
        <w:rPr>
          <w:rFonts w:ascii="Times New Roman" w:eastAsia="Times New Roman" w:hAnsi="Times New Roman" w:cs="Times New Roman"/>
          <w:sz w:val="24"/>
          <w:szCs w:val="24"/>
        </w:rPr>
      </w:pPr>
    </w:p>
    <w:tbl>
      <w:tblPr>
        <w:tblStyle w:val="ac"/>
        <w:tblW w:w="10490" w:type="dxa"/>
        <w:tblInd w:w="-10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25"/>
        <w:gridCol w:w="1843"/>
        <w:gridCol w:w="3827"/>
        <w:gridCol w:w="4395"/>
      </w:tblGrid>
      <w:tr w:rsidR="00151952" w14:paraId="415FDDBB" w14:textId="77777777">
        <w:trPr>
          <w:trHeight w:val="413"/>
        </w:trPr>
        <w:tc>
          <w:tcPr>
            <w:tcW w:w="425" w:type="dxa"/>
          </w:tcPr>
          <w:p w14:paraId="1F83B60D" w14:textId="77777777" w:rsidR="00151952"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843" w:type="dxa"/>
          </w:tcPr>
          <w:p w14:paraId="1AEBCEF4" w14:textId="77777777" w:rsidR="00151952"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Компоненти дії</w:t>
            </w:r>
          </w:p>
        </w:tc>
        <w:tc>
          <w:tcPr>
            <w:tcW w:w="3827" w:type="dxa"/>
          </w:tcPr>
          <w:p w14:paraId="636F27A4" w14:textId="77777777" w:rsidR="00151952"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Засоби лікування</w:t>
            </w:r>
          </w:p>
        </w:tc>
        <w:tc>
          <w:tcPr>
            <w:tcW w:w="4395" w:type="dxa"/>
          </w:tcPr>
          <w:p w14:paraId="3A509B3A" w14:textId="77777777" w:rsidR="00151952"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Критерії самоконтролю</w:t>
            </w:r>
          </w:p>
        </w:tc>
      </w:tr>
      <w:tr w:rsidR="00151952" w14:paraId="78DD21F0" w14:textId="77777777">
        <w:tc>
          <w:tcPr>
            <w:tcW w:w="425" w:type="dxa"/>
          </w:tcPr>
          <w:p w14:paraId="15CA2AB9" w14:textId="77777777" w:rsidR="00151952"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843" w:type="dxa"/>
          </w:tcPr>
          <w:p w14:paraId="07D5C23E"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Препарування каріозної порожнини</w:t>
            </w:r>
          </w:p>
        </w:tc>
        <w:tc>
          <w:tcPr>
            <w:tcW w:w="3827" w:type="dxa"/>
          </w:tcPr>
          <w:p w14:paraId="2E897F7E"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Бори</w:t>
            </w:r>
          </w:p>
        </w:tc>
        <w:tc>
          <w:tcPr>
            <w:tcW w:w="4395" w:type="dxa"/>
          </w:tcPr>
          <w:p w14:paraId="6BECDCBD"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Стінки сформованої порожнини тверді, дно плоске, краї без тріщин, зазубрин</w:t>
            </w:r>
          </w:p>
        </w:tc>
      </w:tr>
      <w:tr w:rsidR="00151952" w14:paraId="734BB949" w14:textId="77777777">
        <w:tc>
          <w:tcPr>
            <w:tcW w:w="425" w:type="dxa"/>
          </w:tcPr>
          <w:p w14:paraId="566BE7F3" w14:textId="77777777" w:rsidR="00151952"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843" w:type="dxa"/>
          </w:tcPr>
          <w:p w14:paraId="04AE478C"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Ізоляція зуба від ротової рідини</w:t>
            </w:r>
          </w:p>
        </w:tc>
        <w:tc>
          <w:tcPr>
            <w:tcW w:w="3827" w:type="dxa"/>
          </w:tcPr>
          <w:p w14:paraId="2CFB7969"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Кофердам, ватні валики, слиновідсмоктувач</w:t>
            </w:r>
          </w:p>
        </w:tc>
        <w:tc>
          <w:tcPr>
            <w:tcW w:w="4395" w:type="dxa"/>
          </w:tcPr>
          <w:p w14:paraId="466D89C9"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Відсутність вологи у ділянці операційного поля.</w:t>
            </w:r>
          </w:p>
        </w:tc>
      </w:tr>
      <w:tr w:rsidR="00151952" w14:paraId="645EA896" w14:textId="77777777">
        <w:tc>
          <w:tcPr>
            <w:tcW w:w="425" w:type="dxa"/>
          </w:tcPr>
          <w:p w14:paraId="3B101A7C" w14:textId="77777777" w:rsidR="00151952"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843" w:type="dxa"/>
          </w:tcPr>
          <w:p w14:paraId="73D4CF5A"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Медикаментозна обробка</w:t>
            </w:r>
          </w:p>
        </w:tc>
        <w:tc>
          <w:tcPr>
            <w:tcW w:w="3827" w:type="dxa"/>
          </w:tcPr>
          <w:p w14:paraId="46239466"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р-н перекису водню</w:t>
            </w:r>
          </w:p>
        </w:tc>
        <w:tc>
          <w:tcPr>
            <w:tcW w:w="4395" w:type="dxa"/>
          </w:tcPr>
          <w:p w14:paraId="5E00EBB0"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Дно та стінки порожнини чисті без емалевих ошурків.</w:t>
            </w:r>
          </w:p>
        </w:tc>
      </w:tr>
      <w:tr w:rsidR="00151952" w14:paraId="4BACAE7E" w14:textId="77777777">
        <w:tc>
          <w:tcPr>
            <w:tcW w:w="425" w:type="dxa"/>
          </w:tcPr>
          <w:p w14:paraId="1E7660AE" w14:textId="77777777" w:rsidR="00151952"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843" w:type="dxa"/>
          </w:tcPr>
          <w:p w14:paraId="3E67B30D"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Висушування </w:t>
            </w:r>
          </w:p>
        </w:tc>
        <w:tc>
          <w:tcPr>
            <w:tcW w:w="3827" w:type="dxa"/>
          </w:tcPr>
          <w:p w14:paraId="2B4CCA46"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Тепле повітря</w:t>
            </w:r>
          </w:p>
        </w:tc>
        <w:tc>
          <w:tcPr>
            <w:tcW w:w="4395" w:type="dxa"/>
          </w:tcPr>
          <w:p w14:paraId="3BF89D05"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Стінки порожнини сухі, недоступні для ротової рідини</w:t>
            </w:r>
          </w:p>
        </w:tc>
      </w:tr>
      <w:tr w:rsidR="00151952" w14:paraId="18EF35C2" w14:textId="77777777">
        <w:tc>
          <w:tcPr>
            <w:tcW w:w="425" w:type="dxa"/>
          </w:tcPr>
          <w:p w14:paraId="3AAF0445" w14:textId="77777777" w:rsidR="00151952"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843" w:type="dxa"/>
          </w:tcPr>
          <w:p w14:paraId="6743A581"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Пломбування </w:t>
            </w:r>
          </w:p>
        </w:tc>
        <w:tc>
          <w:tcPr>
            <w:tcW w:w="3827" w:type="dxa"/>
          </w:tcPr>
          <w:p w14:paraId="293128EC"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Постійні пломбувальні матеріали для різних груп зубів</w:t>
            </w:r>
          </w:p>
        </w:tc>
        <w:tc>
          <w:tcPr>
            <w:tcW w:w="4395" w:type="dxa"/>
          </w:tcPr>
          <w:p w14:paraId="5DFB9E27"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Відновлення анатомічної форми зуба</w:t>
            </w:r>
          </w:p>
        </w:tc>
      </w:tr>
      <w:tr w:rsidR="00151952" w14:paraId="224868B7" w14:textId="77777777">
        <w:tc>
          <w:tcPr>
            <w:tcW w:w="425" w:type="dxa"/>
          </w:tcPr>
          <w:p w14:paraId="2BEE030F" w14:textId="77777777" w:rsidR="00151952"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1843" w:type="dxa"/>
          </w:tcPr>
          <w:p w14:paraId="64F81709"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Шліфування та полірування пломби</w:t>
            </w:r>
          </w:p>
        </w:tc>
        <w:tc>
          <w:tcPr>
            <w:tcW w:w="3827" w:type="dxa"/>
          </w:tcPr>
          <w:p w14:paraId="1C98A424"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Фініри, карборундові головки</w:t>
            </w:r>
          </w:p>
        </w:tc>
        <w:tc>
          <w:tcPr>
            <w:tcW w:w="4395" w:type="dxa"/>
          </w:tcPr>
          <w:p w14:paraId="26DDB3D3"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Поверхневий шар пломби ущільнюється, набуває стійкості та блиску</w:t>
            </w:r>
          </w:p>
        </w:tc>
      </w:tr>
    </w:tbl>
    <w:p w14:paraId="4EE5FDC2" w14:textId="77777777" w:rsidR="00151952" w:rsidRDefault="00000000">
      <w:pPr>
        <w:shd w:val="clear" w:color="auto" w:fill="F5F5F5"/>
        <w:spacing w:after="0" w:line="240" w:lineRule="auto"/>
        <w:ind w:left="360"/>
        <w:rPr>
          <w:rFonts w:ascii="Times New Roman" w:eastAsia="Times New Roman" w:hAnsi="Times New Roman" w:cs="Times New Roman"/>
          <w:b/>
          <w:sz w:val="24"/>
          <w:szCs w:val="24"/>
        </w:rPr>
      </w:pPr>
      <w:r>
        <w:rPr>
          <w:rFonts w:ascii="Times New Roman" w:eastAsia="Times New Roman" w:hAnsi="Times New Roman" w:cs="Times New Roman"/>
          <w:sz w:val="24"/>
          <w:szCs w:val="24"/>
        </w:rPr>
        <w:br/>
        <w:t>                                                     </w:t>
      </w:r>
    </w:p>
    <w:p w14:paraId="6844EE0A" w14:textId="77777777" w:rsidR="00151952"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Схема ООД:</w:t>
      </w:r>
    </w:p>
    <w:p w14:paraId="376CEB6C" w14:textId="77777777" w:rsidR="00151952"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“Лікування гострого середнього карієсу”.</w:t>
      </w:r>
    </w:p>
    <w:tbl>
      <w:tblPr>
        <w:tblStyle w:val="ad"/>
        <w:tblpPr w:leftFromText="180" w:rightFromText="180" w:vertAnchor="text" w:tblpY="167"/>
        <w:tblW w:w="1049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25"/>
        <w:gridCol w:w="1843"/>
        <w:gridCol w:w="3827"/>
        <w:gridCol w:w="4395"/>
      </w:tblGrid>
      <w:tr w:rsidR="00151952" w14:paraId="4FB26020" w14:textId="77777777">
        <w:tc>
          <w:tcPr>
            <w:tcW w:w="425" w:type="dxa"/>
          </w:tcPr>
          <w:p w14:paraId="68905663" w14:textId="77777777" w:rsidR="00151952"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843" w:type="dxa"/>
          </w:tcPr>
          <w:p w14:paraId="044F1119" w14:textId="77777777" w:rsidR="00151952"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Компоненти дії</w:t>
            </w:r>
          </w:p>
        </w:tc>
        <w:tc>
          <w:tcPr>
            <w:tcW w:w="3827" w:type="dxa"/>
          </w:tcPr>
          <w:p w14:paraId="684FAC98" w14:textId="77777777" w:rsidR="00151952"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Засоби лікування</w:t>
            </w:r>
          </w:p>
        </w:tc>
        <w:tc>
          <w:tcPr>
            <w:tcW w:w="4395" w:type="dxa"/>
          </w:tcPr>
          <w:p w14:paraId="539D2C1E" w14:textId="77777777" w:rsidR="00151952"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Критерії самоконтролю</w:t>
            </w:r>
          </w:p>
        </w:tc>
      </w:tr>
      <w:tr w:rsidR="00151952" w14:paraId="2DDCEDC2" w14:textId="77777777">
        <w:tc>
          <w:tcPr>
            <w:tcW w:w="425" w:type="dxa"/>
            <w:tcBorders>
              <w:bottom w:val="nil"/>
            </w:tcBorders>
          </w:tcPr>
          <w:p w14:paraId="091E94AE" w14:textId="77777777" w:rsidR="00151952"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843" w:type="dxa"/>
          </w:tcPr>
          <w:p w14:paraId="753A7DA5" w14:textId="77777777" w:rsidR="00151952"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3827" w:type="dxa"/>
          </w:tcPr>
          <w:p w14:paraId="5FF32A1C" w14:textId="77777777" w:rsidR="00151952"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4395" w:type="dxa"/>
          </w:tcPr>
          <w:p w14:paraId="0EA36817" w14:textId="77777777" w:rsidR="00151952"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r>
      <w:tr w:rsidR="00151952" w14:paraId="04EC4C4B" w14:textId="77777777">
        <w:tc>
          <w:tcPr>
            <w:tcW w:w="425" w:type="dxa"/>
            <w:tcBorders>
              <w:bottom w:val="nil"/>
            </w:tcBorders>
          </w:tcPr>
          <w:p w14:paraId="0F99F62F" w14:textId="77777777" w:rsidR="00151952"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843" w:type="dxa"/>
            <w:tcBorders>
              <w:bottom w:val="nil"/>
            </w:tcBorders>
          </w:tcPr>
          <w:p w14:paraId="20862039"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Знеболення твердих тканин зуба</w:t>
            </w:r>
          </w:p>
        </w:tc>
        <w:tc>
          <w:tcPr>
            <w:tcW w:w="3827" w:type="dxa"/>
            <w:tcBorders>
              <w:bottom w:val="nil"/>
            </w:tcBorders>
          </w:tcPr>
          <w:p w14:paraId="548EF88E"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Карпульний шприц, анестетик.</w:t>
            </w:r>
          </w:p>
        </w:tc>
        <w:tc>
          <w:tcPr>
            <w:tcW w:w="4395" w:type="dxa"/>
            <w:tcBorders>
              <w:bottom w:val="nil"/>
            </w:tcBorders>
          </w:tcPr>
          <w:p w14:paraId="0BE2553A"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Зняття больового симптому при препаруванні створює комфорт під час лікування хворого</w:t>
            </w:r>
          </w:p>
        </w:tc>
      </w:tr>
      <w:tr w:rsidR="00151952" w14:paraId="5C0BAE2E" w14:textId="77777777">
        <w:tc>
          <w:tcPr>
            <w:tcW w:w="425" w:type="dxa"/>
            <w:tcBorders>
              <w:top w:val="nil"/>
              <w:bottom w:val="nil"/>
            </w:tcBorders>
          </w:tcPr>
          <w:p w14:paraId="783791E4" w14:textId="77777777" w:rsidR="00151952" w:rsidRDefault="00151952">
            <w:pPr>
              <w:spacing w:after="0" w:line="240" w:lineRule="auto"/>
              <w:jc w:val="right"/>
              <w:rPr>
                <w:rFonts w:ascii="Times New Roman" w:eastAsia="Times New Roman" w:hAnsi="Times New Roman" w:cs="Times New Roman"/>
                <w:sz w:val="24"/>
                <w:szCs w:val="24"/>
              </w:rPr>
            </w:pPr>
          </w:p>
        </w:tc>
        <w:tc>
          <w:tcPr>
            <w:tcW w:w="1843" w:type="dxa"/>
            <w:tcBorders>
              <w:top w:val="nil"/>
              <w:bottom w:val="nil"/>
            </w:tcBorders>
          </w:tcPr>
          <w:p w14:paraId="06E4BDF6" w14:textId="77777777" w:rsidR="00151952" w:rsidRDefault="00151952">
            <w:pPr>
              <w:tabs>
                <w:tab w:val="left" w:pos="360"/>
              </w:tabs>
              <w:spacing w:after="0" w:line="240" w:lineRule="auto"/>
              <w:jc w:val="both"/>
              <w:rPr>
                <w:rFonts w:ascii="Times New Roman" w:eastAsia="Times New Roman" w:hAnsi="Times New Roman" w:cs="Times New Roman"/>
                <w:sz w:val="24"/>
                <w:szCs w:val="24"/>
              </w:rPr>
            </w:pPr>
          </w:p>
          <w:p w14:paraId="105829A9" w14:textId="77777777" w:rsidR="00151952"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Ін’єкційне</w:t>
            </w:r>
          </w:p>
        </w:tc>
        <w:tc>
          <w:tcPr>
            <w:tcW w:w="3827" w:type="dxa"/>
            <w:tcBorders>
              <w:top w:val="nil"/>
              <w:bottom w:val="nil"/>
            </w:tcBorders>
          </w:tcPr>
          <w:p w14:paraId="21430114" w14:textId="77777777" w:rsidR="00151952" w:rsidRDefault="00151952">
            <w:pPr>
              <w:spacing w:after="0" w:line="240" w:lineRule="auto"/>
              <w:jc w:val="both"/>
              <w:rPr>
                <w:rFonts w:ascii="Times New Roman" w:eastAsia="Times New Roman" w:hAnsi="Times New Roman" w:cs="Times New Roman"/>
                <w:sz w:val="24"/>
                <w:szCs w:val="24"/>
              </w:rPr>
            </w:pPr>
          </w:p>
          <w:p w14:paraId="228D1716"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р-н новокаїну, тримекаїну, лідокаїну з 0,1% адреналіном, 2-4% р-н артикаїну.</w:t>
            </w:r>
          </w:p>
        </w:tc>
        <w:tc>
          <w:tcPr>
            <w:tcW w:w="4395" w:type="dxa"/>
            <w:tcBorders>
              <w:top w:val="nil"/>
              <w:bottom w:val="nil"/>
            </w:tcBorders>
          </w:tcPr>
          <w:p w14:paraId="19BB7106" w14:textId="77777777" w:rsidR="00151952" w:rsidRDefault="00151952">
            <w:pPr>
              <w:spacing w:after="0" w:line="240" w:lineRule="auto"/>
              <w:jc w:val="both"/>
              <w:rPr>
                <w:rFonts w:ascii="Times New Roman" w:eastAsia="Times New Roman" w:hAnsi="Times New Roman" w:cs="Times New Roman"/>
                <w:sz w:val="24"/>
                <w:szCs w:val="24"/>
              </w:rPr>
            </w:pPr>
          </w:p>
          <w:p w14:paraId="46EBB857"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Через 15-20 хв. після ін’єкції – препарування не болюче</w:t>
            </w:r>
          </w:p>
        </w:tc>
      </w:tr>
      <w:tr w:rsidR="00151952" w14:paraId="1AE82C5F" w14:textId="77777777">
        <w:tc>
          <w:tcPr>
            <w:tcW w:w="425" w:type="dxa"/>
            <w:tcBorders>
              <w:top w:val="nil"/>
              <w:bottom w:val="nil"/>
            </w:tcBorders>
          </w:tcPr>
          <w:p w14:paraId="47260CFA" w14:textId="77777777" w:rsidR="00151952" w:rsidRDefault="00151952">
            <w:pPr>
              <w:spacing w:after="0" w:line="240" w:lineRule="auto"/>
              <w:jc w:val="right"/>
              <w:rPr>
                <w:rFonts w:ascii="Times New Roman" w:eastAsia="Times New Roman" w:hAnsi="Times New Roman" w:cs="Times New Roman"/>
                <w:sz w:val="24"/>
                <w:szCs w:val="24"/>
              </w:rPr>
            </w:pPr>
          </w:p>
        </w:tc>
        <w:tc>
          <w:tcPr>
            <w:tcW w:w="1843" w:type="dxa"/>
            <w:tcBorders>
              <w:top w:val="nil"/>
              <w:bottom w:val="nil"/>
            </w:tcBorders>
          </w:tcPr>
          <w:p w14:paraId="19CCACBD" w14:textId="77777777" w:rsidR="00151952"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Аплікацій-не</w:t>
            </w:r>
          </w:p>
        </w:tc>
        <w:tc>
          <w:tcPr>
            <w:tcW w:w="3827" w:type="dxa"/>
            <w:tcBorders>
              <w:top w:val="nil"/>
              <w:bottom w:val="nil"/>
            </w:tcBorders>
          </w:tcPr>
          <w:p w14:paraId="5C0B80F0"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 р-н лідокаїну, </w:t>
            </w:r>
          </w:p>
          <w:p w14:paraId="405E4C75"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піромекаїнова мазь,</w:t>
            </w:r>
          </w:p>
          <w:p w14:paraId="7CA7F31A"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4% р-н прополісу</w:t>
            </w:r>
          </w:p>
        </w:tc>
        <w:tc>
          <w:tcPr>
            <w:tcW w:w="4395" w:type="dxa"/>
            <w:tcBorders>
              <w:top w:val="nil"/>
              <w:bottom w:val="nil"/>
            </w:tcBorders>
          </w:tcPr>
          <w:p w14:paraId="52261B0A"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Знеболення поверхневе і короткочасне</w:t>
            </w:r>
          </w:p>
        </w:tc>
      </w:tr>
      <w:tr w:rsidR="00151952" w14:paraId="3405E03C" w14:textId="77777777">
        <w:tc>
          <w:tcPr>
            <w:tcW w:w="425" w:type="dxa"/>
            <w:tcBorders>
              <w:top w:val="nil"/>
              <w:bottom w:val="nil"/>
            </w:tcBorders>
          </w:tcPr>
          <w:p w14:paraId="57FAF4E7" w14:textId="77777777" w:rsidR="00151952" w:rsidRDefault="00151952">
            <w:pPr>
              <w:spacing w:after="0" w:line="240" w:lineRule="auto"/>
              <w:jc w:val="right"/>
              <w:rPr>
                <w:rFonts w:ascii="Times New Roman" w:eastAsia="Times New Roman" w:hAnsi="Times New Roman" w:cs="Times New Roman"/>
                <w:sz w:val="24"/>
                <w:szCs w:val="24"/>
              </w:rPr>
            </w:pPr>
          </w:p>
        </w:tc>
        <w:tc>
          <w:tcPr>
            <w:tcW w:w="1843" w:type="dxa"/>
            <w:tcBorders>
              <w:top w:val="nil"/>
              <w:bottom w:val="nil"/>
            </w:tcBorders>
          </w:tcPr>
          <w:p w14:paraId="51922B31" w14:textId="77777777" w:rsidR="00151952"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Премедика-ція за 30-40 хв. до лікування</w:t>
            </w:r>
          </w:p>
        </w:tc>
        <w:tc>
          <w:tcPr>
            <w:tcW w:w="3827" w:type="dxa"/>
            <w:tcBorders>
              <w:top w:val="nil"/>
              <w:bottom w:val="nil"/>
            </w:tcBorders>
          </w:tcPr>
          <w:p w14:paraId="6F8FD881"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Феназепам 0,001, седуксен 0,01, еленіум 0,01 та інші транквілізатори у комбінуванні з піроналом 0,5</w:t>
            </w:r>
          </w:p>
        </w:tc>
        <w:tc>
          <w:tcPr>
            <w:tcW w:w="4395" w:type="dxa"/>
            <w:tcBorders>
              <w:top w:val="nil"/>
              <w:bottom w:val="nil"/>
            </w:tcBorders>
          </w:tcPr>
          <w:p w14:paraId="7C71C7AB"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Знеболення та зниження емоційного напруження перед втручанням.</w:t>
            </w:r>
          </w:p>
        </w:tc>
      </w:tr>
      <w:tr w:rsidR="00151952" w14:paraId="1096CDEF" w14:textId="77777777">
        <w:tc>
          <w:tcPr>
            <w:tcW w:w="425" w:type="dxa"/>
            <w:tcBorders>
              <w:top w:val="nil"/>
              <w:bottom w:val="nil"/>
            </w:tcBorders>
          </w:tcPr>
          <w:p w14:paraId="6078340A" w14:textId="77777777" w:rsidR="00151952" w:rsidRDefault="00151952">
            <w:pPr>
              <w:spacing w:after="0" w:line="240" w:lineRule="auto"/>
              <w:jc w:val="right"/>
              <w:rPr>
                <w:rFonts w:ascii="Times New Roman" w:eastAsia="Times New Roman" w:hAnsi="Times New Roman" w:cs="Times New Roman"/>
                <w:sz w:val="24"/>
                <w:szCs w:val="24"/>
              </w:rPr>
            </w:pPr>
          </w:p>
        </w:tc>
        <w:tc>
          <w:tcPr>
            <w:tcW w:w="1843" w:type="dxa"/>
            <w:tcBorders>
              <w:top w:val="nil"/>
              <w:bottom w:val="nil"/>
            </w:tcBorders>
          </w:tcPr>
          <w:p w14:paraId="7E714017" w14:textId="77777777" w:rsidR="00151952"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Електро-знеболення</w:t>
            </w:r>
          </w:p>
        </w:tc>
        <w:tc>
          <w:tcPr>
            <w:tcW w:w="3827" w:type="dxa"/>
            <w:tcBorders>
              <w:top w:val="nil"/>
              <w:bottom w:val="nil"/>
            </w:tcBorders>
          </w:tcPr>
          <w:p w14:paraId="59B4B81A"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Апарати ЕЛОЗ-І, гр.-2, ІНААН-3, р-ни анестетиків</w:t>
            </w:r>
          </w:p>
        </w:tc>
        <w:tc>
          <w:tcPr>
            <w:tcW w:w="4395" w:type="dxa"/>
            <w:tcBorders>
              <w:top w:val="nil"/>
              <w:bottom w:val="nil"/>
            </w:tcBorders>
          </w:tcPr>
          <w:p w14:paraId="0507A021"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Знеболення та зниження емоційного напруження перед втручанням</w:t>
            </w:r>
          </w:p>
        </w:tc>
      </w:tr>
      <w:tr w:rsidR="00151952" w14:paraId="54FC9078" w14:textId="77777777">
        <w:tc>
          <w:tcPr>
            <w:tcW w:w="425" w:type="dxa"/>
            <w:tcBorders>
              <w:top w:val="nil"/>
            </w:tcBorders>
          </w:tcPr>
          <w:p w14:paraId="0467094B" w14:textId="77777777" w:rsidR="00151952" w:rsidRDefault="00151952">
            <w:pPr>
              <w:spacing w:after="0" w:line="240" w:lineRule="auto"/>
              <w:jc w:val="right"/>
              <w:rPr>
                <w:rFonts w:ascii="Times New Roman" w:eastAsia="Times New Roman" w:hAnsi="Times New Roman" w:cs="Times New Roman"/>
                <w:sz w:val="24"/>
                <w:szCs w:val="24"/>
              </w:rPr>
            </w:pPr>
          </w:p>
        </w:tc>
        <w:tc>
          <w:tcPr>
            <w:tcW w:w="1843" w:type="dxa"/>
            <w:tcBorders>
              <w:top w:val="nil"/>
            </w:tcBorders>
          </w:tcPr>
          <w:p w14:paraId="7FDC2FF3" w14:textId="77777777" w:rsidR="00151952" w:rsidRDefault="00000000">
            <w:pPr>
              <w:numPr>
                <w:ilvl w:val="0"/>
                <w:numId w:val="1"/>
              </w:num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Загальний наркоз</w:t>
            </w:r>
          </w:p>
        </w:tc>
        <w:tc>
          <w:tcPr>
            <w:tcW w:w="3827" w:type="dxa"/>
            <w:tcBorders>
              <w:top w:val="nil"/>
            </w:tcBorders>
          </w:tcPr>
          <w:p w14:paraId="3D2875D6"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Анестезіологічний кабінет фторотан, сомбревін та інші</w:t>
            </w:r>
          </w:p>
        </w:tc>
        <w:tc>
          <w:tcPr>
            <w:tcW w:w="4395" w:type="dxa"/>
            <w:tcBorders>
              <w:top w:val="nil"/>
            </w:tcBorders>
          </w:tcPr>
          <w:p w14:paraId="543D769F"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Зняття страху, неконтактності хворого при психічних розладах,наявності алергії на місцеві анестетики.</w:t>
            </w:r>
          </w:p>
        </w:tc>
      </w:tr>
      <w:tr w:rsidR="00151952" w14:paraId="3CDE1B47" w14:textId="77777777">
        <w:tc>
          <w:tcPr>
            <w:tcW w:w="425" w:type="dxa"/>
          </w:tcPr>
          <w:p w14:paraId="783F3C35" w14:textId="77777777" w:rsidR="00151952"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w:t>
            </w:r>
          </w:p>
        </w:tc>
        <w:tc>
          <w:tcPr>
            <w:tcW w:w="1843" w:type="dxa"/>
          </w:tcPr>
          <w:p w14:paraId="2CF5BDAF"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Препарування каріозної порожнини</w:t>
            </w:r>
          </w:p>
        </w:tc>
        <w:tc>
          <w:tcPr>
            <w:tcW w:w="3827" w:type="dxa"/>
          </w:tcPr>
          <w:p w14:paraId="6A7AA2EF"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Бори</w:t>
            </w:r>
          </w:p>
        </w:tc>
        <w:tc>
          <w:tcPr>
            <w:tcW w:w="4395" w:type="dxa"/>
          </w:tcPr>
          <w:p w14:paraId="7DC9AC26"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Стінки сформованої порожнини тверді, дно плоске, краї без тріщин, зазубрин</w:t>
            </w:r>
          </w:p>
        </w:tc>
      </w:tr>
      <w:tr w:rsidR="00151952" w14:paraId="7AF5859D" w14:textId="77777777">
        <w:tc>
          <w:tcPr>
            <w:tcW w:w="425" w:type="dxa"/>
          </w:tcPr>
          <w:p w14:paraId="2FC934CE" w14:textId="77777777" w:rsidR="00151952"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843" w:type="dxa"/>
          </w:tcPr>
          <w:p w14:paraId="54FB9DA6"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Некректомія</w:t>
            </w:r>
          </w:p>
        </w:tc>
        <w:tc>
          <w:tcPr>
            <w:tcW w:w="3827" w:type="dxa"/>
          </w:tcPr>
          <w:p w14:paraId="53DBC8D6"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Екскаватор</w:t>
            </w:r>
          </w:p>
        </w:tc>
        <w:tc>
          <w:tcPr>
            <w:tcW w:w="4395" w:type="dxa"/>
          </w:tcPr>
          <w:p w14:paraId="31B4AA49"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Дентин дна та стінок щільний</w:t>
            </w:r>
          </w:p>
        </w:tc>
      </w:tr>
      <w:tr w:rsidR="00151952" w14:paraId="5456F099" w14:textId="77777777">
        <w:tc>
          <w:tcPr>
            <w:tcW w:w="425" w:type="dxa"/>
          </w:tcPr>
          <w:p w14:paraId="3813C2BC" w14:textId="77777777" w:rsidR="00151952"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843" w:type="dxa"/>
          </w:tcPr>
          <w:p w14:paraId="692272F2"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Ізоляція зуба від ротової рідини</w:t>
            </w:r>
          </w:p>
        </w:tc>
        <w:tc>
          <w:tcPr>
            <w:tcW w:w="3827" w:type="dxa"/>
          </w:tcPr>
          <w:p w14:paraId="69A0A725"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Кофердам, ватні валики, слиновідсмоктувач</w:t>
            </w:r>
          </w:p>
        </w:tc>
        <w:tc>
          <w:tcPr>
            <w:tcW w:w="4395" w:type="dxa"/>
          </w:tcPr>
          <w:p w14:paraId="53393299"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Відсутність вологи у ділянці операційного поля.</w:t>
            </w:r>
          </w:p>
        </w:tc>
      </w:tr>
      <w:tr w:rsidR="00151952" w14:paraId="3227E605" w14:textId="77777777">
        <w:tc>
          <w:tcPr>
            <w:tcW w:w="425" w:type="dxa"/>
          </w:tcPr>
          <w:p w14:paraId="2658EF55" w14:textId="77777777" w:rsidR="00151952"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843" w:type="dxa"/>
          </w:tcPr>
          <w:p w14:paraId="3CE249E0"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Медикаментозна обробка</w:t>
            </w:r>
          </w:p>
        </w:tc>
        <w:tc>
          <w:tcPr>
            <w:tcW w:w="3827" w:type="dxa"/>
          </w:tcPr>
          <w:p w14:paraId="5038E07A"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р-н перекису водню</w:t>
            </w:r>
          </w:p>
        </w:tc>
        <w:tc>
          <w:tcPr>
            <w:tcW w:w="4395" w:type="dxa"/>
          </w:tcPr>
          <w:p w14:paraId="31089AD0"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Дно та стінки порожнини чисті без емалевх ошурків.</w:t>
            </w:r>
          </w:p>
        </w:tc>
      </w:tr>
      <w:tr w:rsidR="00151952" w14:paraId="58610111" w14:textId="77777777">
        <w:tc>
          <w:tcPr>
            <w:tcW w:w="425" w:type="dxa"/>
          </w:tcPr>
          <w:p w14:paraId="3FB01A18" w14:textId="77777777" w:rsidR="00151952"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1843" w:type="dxa"/>
          </w:tcPr>
          <w:p w14:paraId="61E5E11C"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Висушування </w:t>
            </w:r>
          </w:p>
        </w:tc>
        <w:tc>
          <w:tcPr>
            <w:tcW w:w="3827" w:type="dxa"/>
          </w:tcPr>
          <w:p w14:paraId="4AF9D992"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Тепле повітря</w:t>
            </w:r>
          </w:p>
        </w:tc>
        <w:tc>
          <w:tcPr>
            <w:tcW w:w="4395" w:type="dxa"/>
          </w:tcPr>
          <w:p w14:paraId="6E1C8D2E"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Стінки порожнини сухі, недоступні для ротової рідини</w:t>
            </w:r>
          </w:p>
        </w:tc>
      </w:tr>
      <w:tr w:rsidR="00151952" w14:paraId="1D0FE835" w14:textId="77777777">
        <w:tc>
          <w:tcPr>
            <w:tcW w:w="425" w:type="dxa"/>
          </w:tcPr>
          <w:p w14:paraId="1C72BD9F" w14:textId="77777777" w:rsidR="00151952"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1843" w:type="dxa"/>
          </w:tcPr>
          <w:p w14:paraId="78E14B6F"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Пломбування </w:t>
            </w:r>
          </w:p>
        </w:tc>
        <w:tc>
          <w:tcPr>
            <w:tcW w:w="3827" w:type="dxa"/>
          </w:tcPr>
          <w:p w14:paraId="7617D6E2"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А)матеріали для ізолюючої прокладки(фосфат-цемент, полікарбоксилатний цемент, склоіономерний цемент)</w:t>
            </w:r>
          </w:p>
          <w:p w14:paraId="0B9B9C28"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Б)матеріали для постійного пломбування(композити, компомери, ормокери) </w:t>
            </w:r>
          </w:p>
        </w:tc>
        <w:tc>
          <w:tcPr>
            <w:tcW w:w="4395" w:type="dxa"/>
          </w:tcPr>
          <w:p w14:paraId="6BC26E57"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Відновлення анатомічної форми зуба</w:t>
            </w:r>
          </w:p>
        </w:tc>
      </w:tr>
      <w:tr w:rsidR="00151952" w14:paraId="5CE5781C" w14:textId="77777777">
        <w:tc>
          <w:tcPr>
            <w:tcW w:w="425" w:type="dxa"/>
          </w:tcPr>
          <w:p w14:paraId="064C029D" w14:textId="77777777" w:rsidR="00151952"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1843" w:type="dxa"/>
          </w:tcPr>
          <w:p w14:paraId="2D0CEDD8"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Шліфування та полірування пломби</w:t>
            </w:r>
          </w:p>
        </w:tc>
        <w:tc>
          <w:tcPr>
            <w:tcW w:w="3827" w:type="dxa"/>
          </w:tcPr>
          <w:p w14:paraId="640D42C5"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Фініри, карборундові головки</w:t>
            </w:r>
          </w:p>
        </w:tc>
        <w:tc>
          <w:tcPr>
            <w:tcW w:w="4395" w:type="dxa"/>
          </w:tcPr>
          <w:p w14:paraId="6BC76E75"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Поверхневий шар пломби ущільнюється, набуває стійкості та блиску</w:t>
            </w:r>
          </w:p>
        </w:tc>
      </w:tr>
    </w:tbl>
    <w:p w14:paraId="6A3DC2E1" w14:textId="77777777" w:rsidR="00151952" w:rsidRDefault="00151952">
      <w:pPr>
        <w:shd w:val="clear" w:color="auto" w:fill="F5F5F5"/>
        <w:spacing w:after="0" w:line="240" w:lineRule="auto"/>
        <w:ind w:left="360"/>
        <w:rPr>
          <w:rFonts w:ascii="Times New Roman" w:eastAsia="Times New Roman" w:hAnsi="Times New Roman" w:cs="Times New Roman"/>
          <w:b/>
          <w:sz w:val="24"/>
          <w:szCs w:val="24"/>
        </w:rPr>
      </w:pPr>
    </w:p>
    <w:p w14:paraId="5E6A237A" w14:textId="77777777" w:rsidR="00151952"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28DFF52F" w14:textId="77777777" w:rsidR="00151952"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Схема ООД:</w:t>
      </w:r>
    </w:p>
    <w:p w14:paraId="32CDDB33" w14:textId="77777777" w:rsidR="00151952"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“Лікування хронічного середнього карієсу ”.</w:t>
      </w:r>
    </w:p>
    <w:tbl>
      <w:tblPr>
        <w:tblStyle w:val="ae"/>
        <w:tblW w:w="10442" w:type="dxa"/>
        <w:tblInd w:w="-9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77"/>
        <w:gridCol w:w="2269"/>
        <w:gridCol w:w="3160"/>
        <w:gridCol w:w="4536"/>
      </w:tblGrid>
      <w:tr w:rsidR="00151952" w14:paraId="58BE4704" w14:textId="77777777">
        <w:trPr>
          <w:trHeight w:val="413"/>
        </w:trPr>
        <w:tc>
          <w:tcPr>
            <w:tcW w:w="477" w:type="dxa"/>
          </w:tcPr>
          <w:p w14:paraId="1E5F062D" w14:textId="77777777" w:rsidR="00151952"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269" w:type="dxa"/>
          </w:tcPr>
          <w:p w14:paraId="3E7CAD3C" w14:textId="77777777" w:rsidR="00151952"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Компоненти дії</w:t>
            </w:r>
          </w:p>
        </w:tc>
        <w:tc>
          <w:tcPr>
            <w:tcW w:w="3160" w:type="dxa"/>
          </w:tcPr>
          <w:p w14:paraId="500EBC2D" w14:textId="77777777" w:rsidR="00151952"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Засоби лікування</w:t>
            </w:r>
          </w:p>
        </w:tc>
        <w:tc>
          <w:tcPr>
            <w:tcW w:w="4536" w:type="dxa"/>
          </w:tcPr>
          <w:p w14:paraId="6055DAF8" w14:textId="77777777" w:rsidR="00151952"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Критерії самоконтролю</w:t>
            </w:r>
          </w:p>
        </w:tc>
      </w:tr>
      <w:tr w:rsidR="00151952" w14:paraId="0794FDF0" w14:textId="77777777">
        <w:tc>
          <w:tcPr>
            <w:tcW w:w="477" w:type="dxa"/>
          </w:tcPr>
          <w:p w14:paraId="16B74603" w14:textId="77777777" w:rsidR="00151952"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269" w:type="dxa"/>
          </w:tcPr>
          <w:p w14:paraId="1005A79A"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Препарування карі-озної порожнини</w:t>
            </w:r>
          </w:p>
        </w:tc>
        <w:tc>
          <w:tcPr>
            <w:tcW w:w="3160" w:type="dxa"/>
          </w:tcPr>
          <w:p w14:paraId="43FB6F80"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Бори</w:t>
            </w:r>
          </w:p>
        </w:tc>
        <w:tc>
          <w:tcPr>
            <w:tcW w:w="4536" w:type="dxa"/>
          </w:tcPr>
          <w:p w14:paraId="1FF14FF4"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Стінки сформованої порожнини тверді, дно плоске, краї без тріщин, зазубрин</w:t>
            </w:r>
          </w:p>
        </w:tc>
      </w:tr>
      <w:tr w:rsidR="00151952" w14:paraId="187F6C23" w14:textId="77777777">
        <w:tc>
          <w:tcPr>
            <w:tcW w:w="477" w:type="dxa"/>
          </w:tcPr>
          <w:p w14:paraId="79DE9FCC" w14:textId="77777777" w:rsidR="00151952"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269" w:type="dxa"/>
          </w:tcPr>
          <w:p w14:paraId="6CA55D7A"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Ізоляція зуба від ротової рідини</w:t>
            </w:r>
          </w:p>
        </w:tc>
        <w:tc>
          <w:tcPr>
            <w:tcW w:w="3160" w:type="dxa"/>
          </w:tcPr>
          <w:p w14:paraId="1F0001A4"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Кофердам, ватні валики, слиновідсмоктувач</w:t>
            </w:r>
          </w:p>
        </w:tc>
        <w:tc>
          <w:tcPr>
            <w:tcW w:w="4536" w:type="dxa"/>
          </w:tcPr>
          <w:p w14:paraId="5E4BAED8"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Відсутність вологи у ділянці операційного поля.</w:t>
            </w:r>
          </w:p>
        </w:tc>
      </w:tr>
      <w:tr w:rsidR="00151952" w14:paraId="7573923D" w14:textId="77777777">
        <w:tc>
          <w:tcPr>
            <w:tcW w:w="477" w:type="dxa"/>
          </w:tcPr>
          <w:p w14:paraId="6B64421F" w14:textId="77777777" w:rsidR="00151952"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269" w:type="dxa"/>
          </w:tcPr>
          <w:p w14:paraId="00497D13"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Медикаментозна обробка</w:t>
            </w:r>
          </w:p>
        </w:tc>
        <w:tc>
          <w:tcPr>
            <w:tcW w:w="3160" w:type="dxa"/>
          </w:tcPr>
          <w:p w14:paraId="1E500544"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р-н перекису водню</w:t>
            </w:r>
          </w:p>
        </w:tc>
        <w:tc>
          <w:tcPr>
            <w:tcW w:w="4536" w:type="dxa"/>
          </w:tcPr>
          <w:p w14:paraId="7EE6C07E"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Дно та стінки порожнини чисті без емалевх ошурків.</w:t>
            </w:r>
          </w:p>
        </w:tc>
      </w:tr>
      <w:tr w:rsidR="00151952" w14:paraId="2A993090" w14:textId="77777777">
        <w:tc>
          <w:tcPr>
            <w:tcW w:w="477" w:type="dxa"/>
          </w:tcPr>
          <w:p w14:paraId="6DBE20B9" w14:textId="77777777" w:rsidR="00151952"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269" w:type="dxa"/>
          </w:tcPr>
          <w:p w14:paraId="31FA4F12"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Висушування </w:t>
            </w:r>
          </w:p>
        </w:tc>
        <w:tc>
          <w:tcPr>
            <w:tcW w:w="3160" w:type="dxa"/>
          </w:tcPr>
          <w:p w14:paraId="6AB834BC"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Тепле повітря</w:t>
            </w:r>
          </w:p>
        </w:tc>
        <w:tc>
          <w:tcPr>
            <w:tcW w:w="4536" w:type="dxa"/>
          </w:tcPr>
          <w:p w14:paraId="37CC1046"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Стінки порожнини сухі, недоступні для ротової рідини</w:t>
            </w:r>
          </w:p>
        </w:tc>
      </w:tr>
      <w:tr w:rsidR="00151952" w14:paraId="45960123" w14:textId="77777777">
        <w:tc>
          <w:tcPr>
            <w:tcW w:w="477" w:type="dxa"/>
          </w:tcPr>
          <w:p w14:paraId="51E8C3B3" w14:textId="77777777" w:rsidR="00151952"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269" w:type="dxa"/>
          </w:tcPr>
          <w:p w14:paraId="69A89D7D"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Пломбування </w:t>
            </w:r>
          </w:p>
        </w:tc>
        <w:tc>
          <w:tcPr>
            <w:tcW w:w="3160" w:type="dxa"/>
          </w:tcPr>
          <w:p w14:paraId="04AEC118" w14:textId="77777777" w:rsidR="0015195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А)матеріали для ізолюючої прокладки(фосфат-цемент, полікарбоксилатний цемент, склоіономерний цемент)</w:t>
            </w:r>
          </w:p>
          <w:p w14:paraId="3F3272C9" w14:textId="77777777" w:rsidR="0015195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Б)матеріали для постійного пломбування(композити, компомери, ормокери) </w:t>
            </w:r>
          </w:p>
        </w:tc>
        <w:tc>
          <w:tcPr>
            <w:tcW w:w="4536" w:type="dxa"/>
          </w:tcPr>
          <w:p w14:paraId="0D6A6449"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Відновлення анатомічної форми зуба</w:t>
            </w:r>
          </w:p>
        </w:tc>
      </w:tr>
      <w:tr w:rsidR="00151952" w14:paraId="3A5FB2AA" w14:textId="77777777">
        <w:tc>
          <w:tcPr>
            <w:tcW w:w="477" w:type="dxa"/>
          </w:tcPr>
          <w:p w14:paraId="26B67388" w14:textId="77777777" w:rsidR="00151952"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2269" w:type="dxa"/>
          </w:tcPr>
          <w:p w14:paraId="407AFDC0"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Шліфування та полірування пломби</w:t>
            </w:r>
          </w:p>
        </w:tc>
        <w:tc>
          <w:tcPr>
            <w:tcW w:w="3160" w:type="dxa"/>
          </w:tcPr>
          <w:p w14:paraId="49658451"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Фініри, карборундові головки</w:t>
            </w:r>
          </w:p>
        </w:tc>
        <w:tc>
          <w:tcPr>
            <w:tcW w:w="4536" w:type="dxa"/>
          </w:tcPr>
          <w:p w14:paraId="569201E6" w14:textId="77777777" w:rsidR="00151952"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Поверхневий шар пломби ущільнюється, набуває стійкості та блиску</w:t>
            </w:r>
          </w:p>
        </w:tc>
      </w:tr>
    </w:tbl>
    <w:p w14:paraId="045602FF" w14:textId="77777777" w:rsidR="00151952" w:rsidRDefault="00151952">
      <w:pPr>
        <w:shd w:val="clear" w:color="auto" w:fill="F5F5F5"/>
        <w:spacing w:after="0" w:line="240" w:lineRule="auto"/>
        <w:rPr>
          <w:rFonts w:ascii="Times New Roman" w:eastAsia="Times New Roman" w:hAnsi="Times New Roman" w:cs="Times New Roman"/>
          <w:b/>
          <w:sz w:val="24"/>
          <w:szCs w:val="24"/>
        </w:rPr>
      </w:pPr>
    </w:p>
    <w:p w14:paraId="72BD9EF1" w14:textId="77777777" w:rsidR="00151952" w:rsidRDefault="00000000">
      <w:pPr>
        <w:shd w:val="clear" w:color="auto" w:fill="F5F5F5"/>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Лікування гострого початкового карієсу.</w:t>
      </w:r>
      <w:r>
        <w:rPr>
          <w:rFonts w:ascii="Times New Roman" w:eastAsia="Times New Roman" w:hAnsi="Times New Roman" w:cs="Times New Roman"/>
          <w:sz w:val="24"/>
          <w:szCs w:val="24"/>
        </w:rPr>
        <w:br/>
        <w:t>Комплексне лікування гострого початкового карієсу включає заходи впливу на етіологію і патогенез захворювання. Лікування гострого початкового карієсу консервативне.</w:t>
      </w:r>
      <w:r>
        <w:rPr>
          <w:rFonts w:ascii="Times New Roman" w:eastAsia="Times New Roman" w:hAnsi="Times New Roman" w:cs="Times New Roman"/>
          <w:sz w:val="24"/>
          <w:szCs w:val="24"/>
        </w:rPr>
        <w:br/>
        <w:t xml:space="preserve">         Етіотропна терапія передбачає ретельне видалення зубної бляшки за допомогою спеціальних паст, не містять препаратів фтору, 3% розчину перекису водню, зубним порошком або пемзою. Для цієї мети використовують спеціальні щіточки, які надходять з-за кордону. Виготовлених у вигляді бору щіточки вставляють у наконечник. Таким бором при </w:t>
      </w:r>
      <w:r>
        <w:rPr>
          <w:rFonts w:ascii="Times New Roman" w:eastAsia="Times New Roman" w:hAnsi="Times New Roman" w:cs="Times New Roman"/>
          <w:sz w:val="24"/>
          <w:szCs w:val="24"/>
        </w:rPr>
        <w:lastRenderedPageBreak/>
        <w:t>обертанні зі швидкістю 3000 об / хв. очищають поверхню зуба, припудрину порошком. В даний час за кордоном випускають набори паст для видалення зубної бляшки. Вони мають антисептичні, абразивні, прекрасні дезодоруючі властивості.</w:t>
      </w:r>
      <w:r>
        <w:rPr>
          <w:rFonts w:ascii="Times New Roman" w:eastAsia="Times New Roman" w:hAnsi="Times New Roman" w:cs="Times New Roman"/>
          <w:sz w:val="24"/>
          <w:szCs w:val="24"/>
        </w:rPr>
        <w:br/>
        <w:t>Патогенетична терапія складається з засобів місцевого медикоментозного впливу та усунення факторів, що сприяють розвитку і прогресуванню каріозної плями (гігієна порожнини рота, збалансоване харчування, фізіотерапія та ін.)</w:t>
      </w:r>
      <w:r>
        <w:rPr>
          <w:rFonts w:ascii="Times New Roman" w:eastAsia="Times New Roman" w:hAnsi="Times New Roman" w:cs="Times New Roman"/>
          <w:sz w:val="24"/>
          <w:szCs w:val="24"/>
        </w:rPr>
        <w:br/>
        <w:t>Місцева патогенетична терапія заснована на використанні ремініралізіруючих засобів з метою відновлення структури емалі.</w:t>
      </w:r>
      <w:r>
        <w:rPr>
          <w:rFonts w:ascii="Times New Roman" w:eastAsia="Times New Roman" w:hAnsi="Times New Roman" w:cs="Times New Roman"/>
          <w:sz w:val="24"/>
          <w:szCs w:val="24"/>
        </w:rPr>
        <w:br/>
        <w:t>Теоретичним обгрунтуванням можливості проводити лікування карієсу на стадії плями є наступні наукові уявлення.</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1.</w:t>
      </w:r>
      <w:r>
        <w:rPr>
          <w:rFonts w:ascii="Times New Roman" w:eastAsia="Times New Roman" w:hAnsi="Times New Roman" w:cs="Times New Roman"/>
          <w:sz w:val="24"/>
          <w:szCs w:val="24"/>
        </w:rPr>
        <w:t xml:space="preserve"> Рівновага процесів демінералізації, мінералізації і ремінералізації забезпечує гомеостаз твердих тканин зуба. Порушення цієї рівноваги в бік превалювання процесу демінералізації і зниження мінералізації і ремінералізації розглядається як важлива ланка в патогенезі карієсу.</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2.</w:t>
      </w:r>
      <w:r>
        <w:rPr>
          <w:rFonts w:ascii="Times New Roman" w:eastAsia="Times New Roman" w:hAnsi="Times New Roman" w:cs="Times New Roman"/>
          <w:sz w:val="24"/>
          <w:szCs w:val="24"/>
        </w:rPr>
        <w:t xml:space="preserve"> Доведено здатність мінерального матриксу емалі до відновлення при збереженні її білкової структури. Така здатність забезпечується властивістю гідроксиапатиту змінювати свою хімічну структуру. При посиленні процесів демінералізації емалі і втрати кристалами ГА частин іонів кальцію і фосфору, у сприятливих умовах ГА може шляхом дифузії і адсорбції цих елементів із слини відновлюватися до первинного стану. При цьому можливе також новоутворення кристалів ГА з адсорбованих зубними тканинами іонів кальцію і фосфору. Перший процес називається мінералізацією, другий рекристалізацією. Процеси мінералізації можливі при збереженні білкової матриці емалі, наявності КСБЕ, здатного з'єднуватися з іонами кальцію і фосфо-ліпідами з утворенням нерозчинної тривимірної матриці.</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3.</w:t>
      </w:r>
      <w:r>
        <w:rPr>
          <w:rFonts w:ascii="Times New Roman" w:eastAsia="Times New Roman" w:hAnsi="Times New Roman" w:cs="Times New Roman"/>
          <w:sz w:val="24"/>
          <w:szCs w:val="24"/>
        </w:rPr>
        <w:t xml:space="preserve"> Підвищена проникність емалі при гострому початковому карієсі обумовлює проникнення в ділянку демінералізації іонів кальцію, фосфатів, фторидів із слини або штучних ремінералізуючих сумішей з утворенням кристалів ГА і заповненням мікропросторів каріозного вогнища в емалі.</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4</w:t>
      </w:r>
      <w:r>
        <w:rPr>
          <w:rFonts w:ascii="Times New Roman" w:eastAsia="Times New Roman" w:hAnsi="Times New Roman" w:cs="Times New Roman"/>
          <w:sz w:val="24"/>
          <w:szCs w:val="24"/>
        </w:rPr>
        <w:t>. Встановлено, що іони фтору, що володіють високою біологічною актив-ністю, заміщають в молекулі гідроксиапатиту ОН-іони з утворенням фтор</w:t>
      </w:r>
    </w:p>
    <w:p w14:paraId="6F876721" w14:textId="77777777" w:rsidR="0015195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апатиту. Цей процес називається ремінералізацією. Фторапатити розташовуються в поверхневих шарах емалі, створюючи своєрідну захисну оболонку, стійку до несприятливого впливу зовнішнього середовища. Отже недостатнє надходження іонів фтору може привести до зниження інтенсивності процесу ремінералізації і є пусковим механізмом у виникненні карієсу.</w:t>
      </w:r>
      <w:r>
        <w:rPr>
          <w:rFonts w:ascii="Times New Roman" w:eastAsia="Times New Roman" w:hAnsi="Times New Roman" w:cs="Times New Roman"/>
          <w:sz w:val="24"/>
          <w:szCs w:val="24"/>
        </w:rPr>
        <w:br/>
        <w:t xml:space="preserve">         Таким чином, в основу неоперативного лікування та патогенетичної терапії гострого початкового карієсу покладені уявлення про особливості будови та властивості емалі в світлі сучасних даних про патогенез захворювання. Отже, ремінералізуюча терапія - патогенетично обгрунтоване лікування карієсу зубів.</w:t>
      </w:r>
      <w:r>
        <w:rPr>
          <w:rFonts w:ascii="Times New Roman" w:eastAsia="Times New Roman" w:hAnsi="Times New Roman" w:cs="Times New Roman"/>
          <w:sz w:val="24"/>
          <w:szCs w:val="24"/>
        </w:rPr>
        <w:br/>
        <w:t xml:space="preserve">          Ремінералізуюча терапія карієсу здійснюється різними методами. В даний час у нас і за кордоном запропонований ряд ремінералізуючих засобів, основними компонентами яких є іонізуючий кальцій, фосфор, фтор, мікроелементи. Комплексне лікування проводиться під контролем фарбування вогнища ураження аніліновими барвниками до стану повної або максимально повної нездатності меловидної плями забарвлюватися ними.</w:t>
      </w:r>
      <w:r>
        <w:rPr>
          <w:rFonts w:ascii="Times New Roman" w:eastAsia="Times New Roman" w:hAnsi="Times New Roman" w:cs="Times New Roman"/>
          <w:sz w:val="24"/>
          <w:szCs w:val="24"/>
        </w:rPr>
        <w:br/>
        <w:t xml:space="preserve">Розроблено ряд методик ремінералізуючої терапії гострого початкового карієсу. Найбільш широко застосовуваним методом місцевої терапії при гострому початковому карієсі є </w:t>
      </w:r>
      <w:r>
        <w:rPr>
          <w:rFonts w:ascii="Times New Roman" w:eastAsia="Times New Roman" w:hAnsi="Times New Roman" w:cs="Times New Roman"/>
          <w:b/>
          <w:sz w:val="24"/>
          <w:szCs w:val="24"/>
        </w:rPr>
        <w:t>аплікаційний метод</w:t>
      </w:r>
      <w:r>
        <w:rPr>
          <w:rFonts w:ascii="Times New Roman" w:eastAsia="Times New Roman" w:hAnsi="Times New Roman" w:cs="Times New Roman"/>
          <w:sz w:val="24"/>
          <w:szCs w:val="24"/>
        </w:rPr>
        <w:t>, коли ремінералізуючий засіб наносять на очищену, висушену поверхню зуба. З цією метою проводять аплікації (10-20 хв.) 10% р-ну глюконату кальцію (15-20 процедур). Після закінчення-аплікації 2% р-ну фториду натрію (15-20 процедур). Лікування проводити щодня або через день. Ефективне застосування 2,5% розчину гліцерофосфату кальцію.</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Методика Леуса-Боровського</w:t>
      </w:r>
      <w:r>
        <w:rPr>
          <w:rFonts w:ascii="Times New Roman" w:eastAsia="Times New Roman" w:hAnsi="Times New Roman" w:cs="Times New Roman"/>
          <w:sz w:val="24"/>
          <w:szCs w:val="24"/>
        </w:rPr>
        <w:t xml:space="preserve"> полягає в проведенні аплікацій на вогнище ураження 10% р-ну глюконату кальцію на 20 хв., потім слідує ап-плікація 2% розчином фториду натрію на 5 хв. Курс ремінералізуючої терапії -15-20 процедур.</w:t>
      </w:r>
      <w:r>
        <w:rPr>
          <w:rFonts w:ascii="Times New Roman" w:eastAsia="Times New Roman" w:hAnsi="Times New Roman" w:cs="Times New Roman"/>
          <w:sz w:val="24"/>
          <w:szCs w:val="24"/>
        </w:rPr>
        <w:br/>
        <w:t xml:space="preserve">Для підвищення ефективності ремінералізуючої дії запропоновано вводити зазначені </w:t>
      </w:r>
      <w:r>
        <w:rPr>
          <w:rFonts w:ascii="Times New Roman" w:eastAsia="Times New Roman" w:hAnsi="Times New Roman" w:cs="Times New Roman"/>
          <w:sz w:val="24"/>
          <w:szCs w:val="24"/>
        </w:rPr>
        <w:lastRenderedPageBreak/>
        <w:t>препарати методом електрофорезу, флюктофорезу, діа-дінамофорезу, вакуумелектрофорезу, ультрафонофорезу. При цьому зберігаться послідовність введення препаратів. Курс лікування сумарно 15-16 процедур.</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Колесов М.М</w:t>
      </w:r>
      <w:r>
        <w:rPr>
          <w:rFonts w:ascii="Times New Roman" w:eastAsia="Times New Roman" w:hAnsi="Times New Roman" w:cs="Times New Roman"/>
          <w:sz w:val="24"/>
          <w:szCs w:val="24"/>
        </w:rPr>
        <w:t>. рекомендує одночасно з місцевою аплікаційною терапією призначати препарати кальцію і фосфору всередину. З цією метою призначають гліцерофосфат кальцію 0,5 до їжі 3 рази на день протягом 3-4 тижнів, глюконат кальцію або лактат кальцію по тій же схемі, фітин 0,25 до їжі 3 рази на день протягом 3-4 тижнів.</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 xml:space="preserve">Леонтьєв В.К. </w:t>
      </w:r>
      <w:r>
        <w:rPr>
          <w:rFonts w:ascii="Times New Roman" w:eastAsia="Times New Roman" w:hAnsi="Times New Roman" w:cs="Times New Roman"/>
          <w:sz w:val="24"/>
          <w:szCs w:val="24"/>
        </w:rPr>
        <w:t>запропонував використовувати 2% гель фториду натрію на 3% агарі. Розігрітий гель пензликом наносять на ділянку демінералізації емалі. Через 1-2 хв. він застигає у вигляді тонкої плівки. Курс лікування 5-7 аплікацій.</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Леонтьєв В.К. і Сунцов В.Г</w:t>
      </w:r>
      <w:r>
        <w:rPr>
          <w:rFonts w:ascii="Times New Roman" w:eastAsia="Times New Roman" w:hAnsi="Times New Roman" w:cs="Times New Roman"/>
          <w:sz w:val="24"/>
          <w:szCs w:val="24"/>
        </w:rPr>
        <w:t>. розробили спосіб лікування гострого початкового карієсу кальцій фосфатвміщуючим гелем. рН 6,5-7,5 (нейтральний) і 5,5 (кислий). Гель містить іони кальцію і фосфору в такому співвідношенні, в якому ці елементи знаходяться в слині (1:4). При цьому кількість кальцію і фосфору в гелі в 100 разів перевищує такі в слині. Лікування проводиться, в основному, нейтральним гелем, який наноситься на ділянку ураження, потім висушують протягом 2 хвилин. Курс лікування 10 про-цедур. Кислий гель показаний при лікуванні гострого початкового карієсу з наявністю ділянки деструкції, нездатної до ремінералізації.</w:t>
      </w:r>
      <w:r>
        <w:rPr>
          <w:rFonts w:ascii="Times New Roman" w:eastAsia="Times New Roman" w:hAnsi="Times New Roman" w:cs="Times New Roman"/>
          <w:sz w:val="24"/>
          <w:szCs w:val="24"/>
        </w:rPr>
        <w:br/>
        <w:t xml:space="preserve">Найбільш широке поширення отримав препарат </w:t>
      </w:r>
      <w:r>
        <w:rPr>
          <w:rFonts w:ascii="Times New Roman" w:eastAsia="Times New Roman" w:hAnsi="Times New Roman" w:cs="Times New Roman"/>
          <w:b/>
          <w:sz w:val="24"/>
          <w:szCs w:val="24"/>
        </w:rPr>
        <w:t>Ремодент</w:t>
      </w:r>
      <w:r>
        <w:rPr>
          <w:rFonts w:ascii="Times New Roman" w:eastAsia="Times New Roman" w:hAnsi="Times New Roman" w:cs="Times New Roman"/>
          <w:sz w:val="24"/>
          <w:szCs w:val="24"/>
        </w:rPr>
        <w:t>. Ремодент отриманий з кісток тварин. Його склад наступний: Са-4, 35%, Р-1, 35%, Mg-0,15%, К-0,2%, Na-16%, Cl-30%. Органічних речовин -44%, мікроелементів-10%. Для лікування гострого початкового карієсу застосовують 3% р-н ремодента у вигляді аплікацій тривалістю 15-20 хвилин. Після кожної третьої аплікації ремодента поверхню зуба висушують і накладають на 2-3 хвилини тампон, змочений 2% розчином фториду натрію або покривають фтористим лаком. Курс ремінералізуючої терапії 15-20 аплікацій, які проводять щодня або через день.</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Фторвмісний лак</w:t>
      </w:r>
      <w:r>
        <w:rPr>
          <w:rFonts w:ascii="Times New Roman" w:eastAsia="Times New Roman" w:hAnsi="Times New Roman" w:cs="Times New Roman"/>
          <w:sz w:val="24"/>
          <w:szCs w:val="24"/>
        </w:rPr>
        <w:t>, широко використовуваний останнім часом, являє собою складну композицію на основі природних смол, вміщує 2,9% фтору, має жовтий колір і желеподібну консистенцію. Він має гарну адгезію і швидко застигає у присутності слини. Однак Виноградова Т.Ф. не рекомендує при лікуванні каріозного вогнища в стадії плями починати лікування із застосування фторлака або аплікацій фтору. Необхідно попередньо наситити вогнище кальцієм і фосфором. Покриття осередку ураження фторлаком проводять після вечері або після першого сніданку, з метою створення більш тривалого контакту, курсом 5 процедур через день.</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 xml:space="preserve">Максимовський Ю.М. </w:t>
      </w:r>
      <w:r>
        <w:rPr>
          <w:rFonts w:ascii="Times New Roman" w:eastAsia="Times New Roman" w:hAnsi="Times New Roman" w:cs="Times New Roman"/>
          <w:sz w:val="24"/>
          <w:szCs w:val="24"/>
        </w:rPr>
        <w:t>запропонував курс ремінералізуючої терапії з використанням аплікацій різних засобів протягом 10 днів за схемою: 2 дня-3% р-н ремодента; 4 дні-кашка гліцерофосфату кальцію; 3 дні-1% р-р фтористого натрію; 1 день-фтористий лак.</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Синіцин Р.Г., Пилипенко Л.І</w:t>
      </w:r>
      <w:r>
        <w:rPr>
          <w:rFonts w:ascii="Times New Roman" w:eastAsia="Times New Roman" w:hAnsi="Times New Roman" w:cs="Times New Roman"/>
          <w:sz w:val="24"/>
          <w:szCs w:val="24"/>
        </w:rPr>
        <w:t>. рекомендують використовувати фосфат-цемент, до складу якого вводять гліцерофосфат кальцію (5%) або фторид натрію (5% маси порошку). на гладкій поверхні каріозної плями препарат утримується 1-2 тижні, а в фіссурах-кілька місяців.</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Фторглікофосфаль</w:t>
      </w:r>
      <w:r>
        <w:rPr>
          <w:rFonts w:ascii="Times New Roman" w:eastAsia="Times New Roman" w:hAnsi="Times New Roman" w:cs="Times New Roman"/>
          <w:sz w:val="24"/>
          <w:szCs w:val="24"/>
        </w:rPr>
        <w:t xml:space="preserve"> - нова форма, виконана у вигляді дисків, призначена для лікування гострого початкового карієсу, а також для профілактики карієсу. Це багатокомпонентний ремінералізуючий препарат, що містить набір макро-і мікроелементів. Диски розроблені групою вчених м.Харкова під керівництвом професора Нападова В.А.</w:t>
      </w:r>
      <w:r>
        <w:rPr>
          <w:rFonts w:ascii="Times New Roman" w:eastAsia="Times New Roman" w:hAnsi="Times New Roman" w:cs="Times New Roman"/>
          <w:sz w:val="24"/>
          <w:szCs w:val="24"/>
        </w:rPr>
        <w:br/>
        <w:t>Методика застосування. Перед застосуванням дисків зуби обробляють 3% розчином водню і висушують ватяним кулькою. Диск одягають на дис-кодержатель і фіксують на наконечнику бормашини. У вогнище демінералі-зації препарат втирають при швидкості обертання диска 3-10 тис. об / хв. в те-чення 5-7 сек. на кожен зуб. Курс - 4-7 процедур.</w:t>
      </w:r>
      <w:r>
        <w:rPr>
          <w:rFonts w:ascii="Times New Roman" w:eastAsia="Times New Roman" w:hAnsi="Times New Roman" w:cs="Times New Roman"/>
          <w:sz w:val="24"/>
          <w:szCs w:val="24"/>
        </w:rPr>
        <w:br/>
        <w:t xml:space="preserve">          В останні роки для ремінералізуючої терапії використовують спосіб глибокого фторування по </w:t>
      </w:r>
      <w:r>
        <w:rPr>
          <w:rFonts w:ascii="Times New Roman" w:eastAsia="Times New Roman" w:hAnsi="Times New Roman" w:cs="Times New Roman"/>
          <w:i/>
          <w:sz w:val="24"/>
          <w:szCs w:val="24"/>
        </w:rPr>
        <w:t>методу Кнаппвоста</w:t>
      </w:r>
      <w:r>
        <w:rPr>
          <w:rFonts w:ascii="Times New Roman" w:eastAsia="Times New Roman" w:hAnsi="Times New Roman" w:cs="Times New Roman"/>
          <w:sz w:val="24"/>
          <w:szCs w:val="24"/>
        </w:rPr>
        <w:t xml:space="preserve">: розчином магнієво-фтористого силікату і суспензії високодисперсного гідроксиду кальцію (емаль-герметизуючий ліквід). При послідовному нанесенні двох розчинів в структурах емалі утворюються фторсілікатний комплекс, який закінчується утворенням мікрокристалів фториду кальцію, магнію та міді, а також полімеризованної кремнієвої кислоти. Ці кристали розміщуються в гелій-кремнієвій  кислоті в глибині мікропористих структур емалі. Фтор розчиняється повільно, сприяючи </w:t>
      </w:r>
      <w:r>
        <w:rPr>
          <w:rFonts w:ascii="Times New Roman" w:eastAsia="Times New Roman" w:hAnsi="Times New Roman" w:cs="Times New Roman"/>
          <w:sz w:val="24"/>
          <w:szCs w:val="24"/>
        </w:rPr>
        <w:lastRenderedPageBreak/>
        <w:t>ремінералізації структур емалі.</w:t>
      </w:r>
      <w:r>
        <w:rPr>
          <w:rFonts w:ascii="Times New Roman" w:eastAsia="Times New Roman" w:hAnsi="Times New Roman" w:cs="Times New Roman"/>
          <w:sz w:val="24"/>
          <w:szCs w:val="24"/>
        </w:rPr>
        <w:br/>
        <w:t>Фірма Владмива (Росія) розробила препарат для глибокого фторування «Глуфторед». У комплект входять рідина і суспензія. Рідина містить іони міді і фтору, суспензія - високодисперстний гідроокис кальцію в дистильованій воді з додаванням стабілізатора.</w:t>
      </w:r>
      <w:r>
        <w:rPr>
          <w:rFonts w:ascii="Times New Roman" w:eastAsia="Times New Roman" w:hAnsi="Times New Roman" w:cs="Times New Roman"/>
          <w:sz w:val="24"/>
          <w:szCs w:val="24"/>
        </w:rPr>
        <w:br/>
      </w:r>
      <w:r>
        <w:rPr>
          <w:rFonts w:ascii="Times New Roman" w:eastAsia="Times New Roman" w:hAnsi="Times New Roman" w:cs="Times New Roman"/>
          <w:i/>
          <w:sz w:val="24"/>
          <w:szCs w:val="24"/>
        </w:rPr>
        <w:t>Методика використання препарату «Глуфторед»</w:t>
      </w:r>
      <w:r>
        <w:rPr>
          <w:rFonts w:ascii="Times New Roman" w:eastAsia="Times New Roman" w:hAnsi="Times New Roman" w:cs="Times New Roman"/>
          <w:sz w:val="24"/>
          <w:szCs w:val="24"/>
        </w:rPr>
        <w:t>: після механічного очищення поверхні зуба і висушування теплим повітрям пошкоджені поверхні зуба обробляють першою рідиною. Через 1 хв. Іншим тампоном видаляють залишки рідини, після чого на емаль з допомогою іншого тампона наносять суспензію. Через 1 хв. можна прополоскати рот.</w:t>
      </w:r>
      <w:r>
        <w:rPr>
          <w:rFonts w:ascii="Times New Roman" w:eastAsia="Times New Roman" w:hAnsi="Times New Roman" w:cs="Times New Roman"/>
          <w:sz w:val="24"/>
          <w:szCs w:val="24"/>
        </w:rPr>
        <w:br/>
        <w:t>Фторвміщуючі  лаки Bifluorid «VOCO», Fluor Protector «Vivadent», Durafat «Colgate», фторлак Росія. Плівка лаків тривалий час утримується на поверхні зуба, що забезпечує пролонговану дію іонів фтору емалі та дентину. Використання лаків не вимагає додаткових процедур (електрофорезу або фонофорез).</w:t>
      </w:r>
      <w:r>
        <w:rPr>
          <w:rFonts w:ascii="Times New Roman" w:eastAsia="Times New Roman" w:hAnsi="Times New Roman" w:cs="Times New Roman"/>
          <w:sz w:val="24"/>
          <w:szCs w:val="24"/>
        </w:rPr>
        <w:br/>
      </w:r>
      <w:r>
        <w:rPr>
          <w:rFonts w:ascii="Times New Roman" w:eastAsia="Times New Roman" w:hAnsi="Times New Roman" w:cs="Times New Roman"/>
          <w:b/>
          <w:i/>
          <w:sz w:val="24"/>
          <w:szCs w:val="24"/>
        </w:rPr>
        <w:t>Сучасні фторвміщуючі  лаки діляться на:</w:t>
      </w:r>
      <w:r>
        <w:rPr>
          <w:rFonts w:ascii="Times New Roman" w:eastAsia="Times New Roman" w:hAnsi="Times New Roman" w:cs="Times New Roman"/>
          <w:sz w:val="24"/>
          <w:szCs w:val="24"/>
        </w:rPr>
        <w:br/>
        <w:t xml:space="preserve">1. </w:t>
      </w:r>
      <w:r>
        <w:rPr>
          <w:rFonts w:ascii="Times New Roman" w:eastAsia="Times New Roman" w:hAnsi="Times New Roman" w:cs="Times New Roman"/>
          <w:i/>
          <w:sz w:val="24"/>
          <w:szCs w:val="24"/>
        </w:rPr>
        <w:t>Жорсткі</w:t>
      </w:r>
      <w:r>
        <w:rPr>
          <w:rFonts w:ascii="Times New Roman" w:eastAsia="Times New Roman" w:hAnsi="Times New Roman" w:cs="Times New Roman"/>
          <w:sz w:val="24"/>
          <w:szCs w:val="24"/>
        </w:rPr>
        <w:t xml:space="preserve"> (на основі акрилатів, поліуретану, епоксидних смол), які утворюють на поверхні зуба щільну, непроникаючу плівку.</w:t>
      </w:r>
      <w:r>
        <w:rPr>
          <w:rFonts w:ascii="Times New Roman" w:eastAsia="Times New Roman" w:hAnsi="Times New Roman" w:cs="Times New Roman"/>
          <w:sz w:val="24"/>
          <w:szCs w:val="24"/>
        </w:rPr>
        <w:br/>
        <w:t xml:space="preserve">2. </w:t>
      </w:r>
      <w:r>
        <w:rPr>
          <w:rFonts w:ascii="Times New Roman" w:eastAsia="Times New Roman" w:hAnsi="Times New Roman" w:cs="Times New Roman"/>
          <w:i/>
          <w:sz w:val="24"/>
          <w:szCs w:val="24"/>
        </w:rPr>
        <w:t>М'які</w:t>
      </w:r>
      <w:r>
        <w:rPr>
          <w:rFonts w:ascii="Times New Roman" w:eastAsia="Times New Roman" w:hAnsi="Times New Roman" w:cs="Times New Roman"/>
          <w:sz w:val="24"/>
          <w:szCs w:val="24"/>
        </w:rPr>
        <w:t xml:space="preserve"> (на основі природних смол) які утримуються на поверхні зуба короткочасно.</w:t>
      </w:r>
      <w:r>
        <w:rPr>
          <w:rFonts w:ascii="Times New Roman" w:eastAsia="Times New Roman" w:hAnsi="Times New Roman" w:cs="Times New Roman"/>
          <w:sz w:val="24"/>
          <w:szCs w:val="24"/>
        </w:rPr>
        <w:br/>
        <w:t>У дитячому віці використовувати жорсткі лаки не бажано так як вони несприятливо впливають на обмінні процеси в емалі знижуючи її проникність.</w:t>
      </w:r>
      <w:r>
        <w:rPr>
          <w:rFonts w:ascii="Times New Roman" w:eastAsia="Times New Roman" w:hAnsi="Times New Roman" w:cs="Times New Roman"/>
          <w:sz w:val="24"/>
          <w:szCs w:val="24"/>
        </w:rPr>
        <w:br/>
        <w:t>За призначенням до фторовмісних лаків подібні фторвміщуючі  гелі «БелагельF», «БелагельСа / Р» «ВдаМіВА» Росія.</w:t>
      </w:r>
      <w:r>
        <w:rPr>
          <w:rFonts w:ascii="Times New Roman" w:eastAsia="Times New Roman" w:hAnsi="Times New Roman" w:cs="Times New Roman"/>
          <w:sz w:val="24"/>
          <w:szCs w:val="24"/>
        </w:rPr>
        <w:br/>
        <w:t xml:space="preserve">         З метою загальної патогенетичної терапії використовують препарати II покоління. До II покоління відносяться комплексні препарати солей кальцію і вітаміну Д: Кальцій Д3 Нікомед (Норвегія), Вітрум Кальціум Д3 (Польща). При їх застосуванні спостерігалися ускладнення у вигляді передозування  вітаміну Д, який має властивість кумулюватися в організмі.</w:t>
      </w:r>
      <w:r>
        <w:rPr>
          <w:rFonts w:ascii="Times New Roman" w:eastAsia="Times New Roman" w:hAnsi="Times New Roman" w:cs="Times New Roman"/>
          <w:sz w:val="24"/>
          <w:szCs w:val="24"/>
        </w:rPr>
        <w:br/>
        <w:t xml:space="preserve">        В даний час призначають препарати кальцію III покоління, які включають комплекси солей кальцію, вітаміну Д (в невисоких дозах) і мінерали: Кальцій Д3 морський з цинком, Кальцій Д3 морський з селеном, Кальцій Д3 морський з вітаміном С (Росія), КальцеМід (ЮНІС, Україна), Кальцемін - США (1табл. 2 рази на день після їжі 1 міс.), Біокальцевіт Україна (по 0,5 пір. 1 раз на ніч, 1 міс.), Біокосмовіт - України, Кальцид (Росія), Біокальцій (ТЯНЬШИ, КНР), Сунамол Лд3 (України). Крім того, використовують полівітамінні комплекси з мінералами: Макровіт, Піковіт, Мультивітамол, Матерна, Дуовіт, Супрадин, Олиговит, Юникап, Теравіт, Три-Ві-плюс, Мульти-табс.</w:t>
      </w:r>
      <w:r>
        <w:rPr>
          <w:rFonts w:ascii="Times New Roman" w:eastAsia="Times New Roman" w:hAnsi="Times New Roman" w:cs="Times New Roman"/>
          <w:sz w:val="24"/>
          <w:szCs w:val="24"/>
        </w:rPr>
        <w:br/>
        <w:t>       Важливим моментом патогенетичної терапії гострого початкового карієсу є суворе дотримання гігієни порожнини рота, призначення лікувального харчування, що забезпечує зниження вживання вуглеводів і підвищення вживання продуктів, що містять мінеральні речовини і підвищують ремінералізуючі  властивості слини. Обов'язково призначають вітаміни і комплекс мікроелементів.</w:t>
      </w:r>
      <w:r>
        <w:rPr>
          <w:rFonts w:ascii="Times New Roman" w:eastAsia="Times New Roman" w:hAnsi="Times New Roman" w:cs="Times New Roman"/>
          <w:sz w:val="24"/>
          <w:szCs w:val="24"/>
        </w:rPr>
        <w:br/>
        <w:t>       Про ефективність лікування, тривалості курсу ремінералізуючої терапії та необхідності проведення повторного курсу лікування судять по трансформаційних змінах інтенсивності фарбування уражених ділянок емалі зубів метиленовим синім, щодо зміни розмірів, щільності, блиску і кольору плям. Природний блиск і слабка пігментація після лікування свідчить про стабілізацію процесу. Найкращий результат лікування - повне зникнення білого каріозної плями. Позитивним результатом вважають і зменшення  розмірів плям, значне зниження інтенсивності їх фарбування. До негативних результатів відносять появу нових крейдовидних плям на апліцірованних зубах, збільшення вогнища ураження, виникнення дефектів в центрі плям, збільшення інтенсивності фарбування пошкодженої емалі зубів метиленовим синім.</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 xml:space="preserve">      Лікування хронічного початкового карієсу.</w:t>
      </w:r>
      <w:r>
        <w:rPr>
          <w:rFonts w:ascii="Times New Roman" w:eastAsia="Times New Roman" w:hAnsi="Times New Roman" w:cs="Times New Roman"/>
          <w:sz w:val="24"/>
          <w:szCs w:val="24"/>
        </w:rPr>
        <w:br/>
        <w:t xml:space="preserve">      Хронічний початковий карієс характеризується стабілізацією процесу, отже, показанням до його лікування служить локалізація темнокоричневої плями на вестибулярній поверхні фронтальних зубів скарги, хворих на наявність естетичного дефекту. Емаль в ділянці дефекту зішліфовують з наступним проведенням ремінералізуючої терапії. Але деякі вчені пропонують проводити відбілювання плям. Найкращими відбілюючими властивостями володіють перекис водню, перекис карбаміду, хлор і кисень. При неефективності методів </w:t>
      </w:r>
      <w:r>
        <w:rPr>
          <w:rFonts w:ascii="Times New Roman" w:eastAsia="Times New Roman" w:hAnsi="Times New Roman" w:cs="Times New Roman"/>
          <w:sz w:val="24"/>
          <w:szCs w:val="24"/>
        </w:rPr>
        <w:lastRenderedPageBreak/>
        <w:t>відбілювання застосовують метод зішліфовування.</w:t>
      </w:r>
      <w:r>
        <w:rPr>
          <w:rFonts w:ascii="Times New Roman" w:eastAsia="Times New Roman" w:hAnsi="Times New Roman" w:cs="Times New Roman"/>
          <w:sz w:val="24"/>
          <w:szCs w:val="24"/>
        </w:rPr>
        <w:br/>
        <w:t>       </w:t>
      </w:r>
      <w:r>
        <w:rPr>
          <w:rFonts w:ascii="Times New Roman" w:eastAsia="Times New Roman" w:hAnsi="Times New Roman" w:cs="Times New Roman"/>
          <w:b/>
          <w:sz w:val="24"/>
          <w:szCs w:val="24"/>
        </w:rPr>
        <w:t>Новик І. О.</w:t>
      </w:r>
      <w:r>
        <w:rPr>
          <w:rFonts w:ascii="Times New Roman" w:eastAsia="Times New Roman" w:hAnsi="Times New Roman" w:cs="Times New Roman"/>
          <w:sz w:val="24"/>
          <w:szCs w:val="24"/>
        </w:rPr>
        <w:t xml:space="preserve"> запропонував суміш з 5 частин пероксиду водню і 1 частини ефіру накладати на пігментовану ділянку емалі на 15-20 хв. Потім проводити опромінення кварцевою лампою до 10 хв.</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     Овруцький Г. Д.</w:t>
      </w:r>
      <w:r>
        <w:rPr>
          <w:rFonts w:ascii="Times New Roman" w:eastAsia="Times New Roman" w:hAnsi="Times New Roman" w:cs="Times New Roman"/>
          <w:sz w:val="24"/>
          <w:szCs w:val="24"/>
        </w:rPr>
        <w:t xml:space="preserve"> рекомендує спочатку зішліфовувати плями, потім примінити методику Новіка І. Б. і завершити втиранням 75% фтористою пастою Лукомського.</w:t>
      </w:r>
      <w:r>
        <w:rPr>
          <w:rFonts w:ascii="Times New Roman" w:eastAsia="Times New Roman" w:hAnsi="Times New Roman" w:cs="Times New Roman"/>
          <w:sz w:val="24"/>
          <w:szCs w:val="24"/>
        </w:rPr>
        <w:br/>
        <w:t>      </w:t>
      </w:r>
      <w:r>
        <w:rPr>
          <w:rFonts w:ascii="Times New Roman" w:eastAsia="Times New Roman" w:hAnsi="Times New Roman" w:cs="Times New Roman"/>
          <w:b/>
          <w:sz w:val="24"/>
          <w:szCs w:val="24"/>
        </w:rPr>
        <w:t>Патрікеєв В. К.</w:t>
      </w:r>
      <w:r>
        <w:rPr>
          <w:rFonts w:ascii="Times New Roman" w:eastAsia="Times New Roman" w:hAnsi="Times New Roman" w:cs="Times New Roman"/>
          <w:sz w:val="24"/>
          <w:szCs w:val="24"/>
        </w:rPr>
        <w:t xml:space="preserve"> рекомендує використовувати розчини лимонної або виннокаменої кислоти для відбілювання вогнища, а потім нейтралізувати кислоти содової пастою. Завершують відбілювання поліруванням поверхні зуба.</w:t>
      </w:r>
      <w:r>
        <w:rPr>
          <w:rFonts w:ascii="Times New Roman" w:eastAsia="Times New Roman" w:hAnsi="Times New Roman" w:cs="Times New Roman"/>
          <w:sz w:val="24"/>
          <w:szCs w:val="24"/>
        </w:rPr>
        <w:br/>
        <w:t>       </w:t>
      </w:r>
      <w:r>
        <w:rPr>
          <w:rFonts w:ascii="Times New Roman" w:eastAsia="Times New Roman" w:hAnsi="Times New Roman" w:cs="Times New Roman"/>
          <w:b/>
          <w:sz w:val="24"/>
          <w:szCs w:val="24"/>
        </w:rPr>
        <w:t>Боровський Є. В.</w:t>
      </w:r>
      <w:r>
        <w:rPr>
          <w:rFonts w:ascii="Times New Roman" w:eastAsia="Times New Roman" w:hAnsi="Times New Roman" w:cs="Times New Roman"/>
          <w:sz w:val="24"/>
          <w:szCs w:val="24"/>
        </w:rPr>
        <w:t xml:space="preserve"> обробляє 20-30% розчином соляної кислоти протягом 2-3 хв. до побіління емалі, потім поверхню зуба промивають водою та висушують. Завершують процедуру аплікацією 10% розчину глюконату кальцію 15-20 хв. Курс лікування 10-15 процедур.</w:t>
      </w:r>
      <w:r>
        <w:rPr>
          <w:rFonts w:ascii="Times New Roman" w:eastAsia="Times New Roman" w:hAnsi="Times New Roman" w:cs="Times New Roman"/>
          <w:sz w:val="24"/>
          <w:szCs w:val="24"/>
        </w:rPr>
        <w:br/>
        <w:t>      </w:t>
      </w:r>
      <w:r>
        <w:rPr>
          <w:rFonts w:ascii="Times New Roman" w:eastAsia="Times New Roman" w:hAnsi="Times New Roman" w:cs="Times New Roman"/>
          <w:b/>
          <w:sz w:val="24"/>
          <w:szCs w:val="24"/>
        </w:rPr>
        <w:t xml:space="preserve">Ніколішин А. К. </w:t>
      </w:r>
      <w:r>
        <w:rPr>
          <w:rFonts w:ascii="Times New Roman" w:eastAsia="Times New Roman" w:hAnsi="Times New Roman" w:cs="Times New Roman"/>
          <w:sz w:val="24"/>
          <w:szCs w:val="24"/>
        </w:rPr>
        <w:t>запропонував декілька методик відбілювання пігментованих плям.</w:t>
      </w:r>
      <w:r>
        <w:rPr>
          <w:rFonts w:ascii="Times New Roman" w:eastAsia="Times New Roman" w:hAnsi="Times New Roman" w:cs="Times New Roman"/>
          <w:sz w:val="24"/>
          <w:szCs w:val="24"/>
        </w:rPr>
        <w:br/>
        <w:t>1. Ділянка ураження обробляють сумішшю НСl і пергидроля в співідношенні1:2 на протязі 5 хв., потім вводять 5% розчин хлористого кальцію методом електрофорезу з (-) полюса протягом 20 хв. Курс лікування 8-10 процедур.</w:t>
      </w:r>
      <w:r>
        <w:rPr>
          <w:rFonts w:ascii="Times New Roman" w:eastAsia="Times New Roman" w:hAnsi="Times New Roman" w:cs="Times New Roman"/>
          <w:sz w:val="24"/>
          <w:szCs w:val="24"/>
        </w:rPr>
        <w:br/>
        <w:t>2. На 5 хв. послідовно накладають 12% НСl, потім пергідроль і їх суміш у співвідношенні 1:2. Завершують процедуру аплікацією 3% розчином ремоденту на 30 хв. і покриттям медичним клеєм МК-2.</w:t>
      </w:r>
      <w:r>
        <w:rPr>
          <w:rFonts w:ascii="Times New Roman" w:eastAsia="Times New Roman" w:hAnsi="Times New Roman" w:cs="Times New Roman"/>
          <w:sz w:val="24"/>
          <w:szCs w:val="24"/>
        </w:rPr>
        <w:br/>
        <w:t>3. Одноразове нанесення відбілюючої рідини (36% НСl і пергідроля  у співвідношенні 1:3) і п'ятикратне нанесення гелій неонового лазера по 3 хв. потужністю 0,5 мВт.</w:t>
      </w:r>
      <w:r>
        <w:rPr>
          <w:rFonts w:ascii="Times New Roman" w:eastAsia="Times New Roman" w:hAnsi="Times New Roman" w:cs="Times New Roman"/>
          <w:sz w:val="24"/>
          <w:szCs w:val="24"/>
        </w:rPr>
        <w:br/>
        <w:t>4. Використання апарату ОД-2 зі спеціальним пристроєм ( резервуар для відбілюючого розчину), що вводиться в порожнину рота. При вкюченні апарату під дією постійного струму відбувається окислення розчину і виділенням атомарного кисню що володіє відбілюючим ефектом.</w:t>
      </w:r>
      <w:r>
        <w:rPr>
          <w:rFonts w:ascii="Times New Roman" w:eastAsia="Times New Roman" w:hAnsi="Times New Roman" w:cs="Times New Roman"/>
          <w:sz w:val="24"/>
          <w:szCs w:val="24"/>
        </w:rPr>
        <w:br/>
      </w:r>
    </w:p>
    <w:p w14:paraId="388C4643" w14:textId="77777777" w:rsidR="00151952" w:rsidRDefault="00151952">
      <w:pPr>
        <w:spacing w:after="0" w:line="240" w:lineRule="auto"/>
        <w:rPr>
          <w:rFonts w:ascii="Times New Roman" w:eastAsia="Times New Roman" w:hAnsi="Times New Roman" w:cs="Times New Roman"/>
          <w:sz w:val="24"/>
          <w:szCs w:val="24"/>
        </w:rPr>
      </w:pPr>
    </w:p>
    <w:sectPr w:rsidR="00151952">
      <w:pgSz w:w="11906" w:h="16838"/>
      <w:pgMar w:top="850" w:right="850" w:bottom="850"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6A20BBFD-3896-4AAB-BE6A-28BD2714D9D1}"/>
  </w:font>
  <w:font w:name="Calibri">
    <w:panose1 w:val="020F0502020204030204"/>
    <w:charset w:val="CC"/>
    <w:family w:val="swiss"/>
    <w:pitch w:val="variable"/>
    <w:sig w:usb0="E4002EFF" w:usb1="C200247B" w:usb2="00000009" w:usb3="00000000" w:csb0="000001FF" w:csb1="00000000"/>
    <w:embedRegular r:id="rId2" w:fontKey="{3DE59EB6-4229-412A-AEF6-6DAFA2179ACB}"/>
    <w:embedBold r:id="rId3" w:fontKey="{985D836A-8DB3-4339-80D5-447C8E7DD00C}"/>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roman"/>
    <w:notTrueType/>
    <w:pitch w:val="default"/>
    <w:embedRegular r:id="rId4" w:fontKey="{B516FF10-AC35-437E-83E5-4E1D48E268FE}"/>
  </w:font>
  <w:font w:name="Georgia">
    <w:panose1 w:val="02040502050405020303"/>
    <w:charset w:val="00"/>
    <w:family w:val="auto"/>
    <w:pitch w:val="default"/>
    <w:embedRegular r:id="rId5" w:fontKey="{E8FD49BF-7328-468D-B751-8E62A22E0BCB}"/>
    <w:embedItalic r:id="rId6" w:fontKey="{D5D37920-B978-4DA3-89A4-3A97F6E9813C}"/>
  </w:font>
  <w:font w:name="Cambria">
    <w:panose1 w:val="02040503050406030204"/>
    <w:charset w:val="CC"/>
    <w:family w:val="roman"/>
    <w:pitch w:val="variable"/>
    <w:sig w:usb0="E00006FF" w:usb1="420024FF" w:usb2="02000000" w:usb3="00000000" w:csb0="0000019F" w:csb1="00000000"/>
    <w:embedRegular r:id="rId7" w:fontKey="{F712DF7A-D3FD-4B4B-A89D-62EB140693D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9704D"/>
    <w:multiLevelType w:val="multilevel"/>
    <w:tmpl w:val="2B86276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5CCD643C"/>
    <w:multiLevelType w:val="multilevel"/>
    <w:tmpl w:val="434640E8"/>
    <w:lvl w:ilvl="0">
      <w:start w:val="1"/>
      <w:numFmt w:val="decimal"/>
      <w:lvlText w:val="%1."/>
      <w:lvlJc w:val="left"/>
      <w:pPr>
        <w:ind w:left="644" w:hanging="359"/>
      </w:pPr>
    </w:lvl>
    <w:lvl w:ilvl="1">
      <w:start w:val="1"/>
      <w:numFmt w:val="decimal"/>
      <w:lvlText w:val="%2."/>
      <w:lvlJc w:val="left"/>
      <w:pPr>
        <w:ind w:left="1364" w:hanging="360"/>
      </w:pPr>
    </w:lvl>
    <w:lvl w:ilvl="2">
      <w:start w:val="1"/>
      <w:numFmt w:val="decimal"/>
      <w:lvlText w:val="%3."/>
      <w:lvlJc w:val="left"/>
      <w:pPr>
        <w:ind w:left="2084" w:hanging="360"/>
      </w:pPr>
    </w:lvl>
    <w:lvl w:ilvl="3">
      <w:start w:val="1"/>
      <w:numFmt w:val="decimal"/>
      <w:lvlText w:val="%4."/>
      <w:lvlJc w:val="left"/>
      <w:pPr>
        <w:ind w:left="2804" w:hanging="360"/>
      </w:pPr>
    </w:lvl>
    <w:lvl w:ilvl="4">
      <w:start w:val="1"/>
      <w:numFmt w:val="decimal"/>
      <w:lvlText w:val="%5."/>
      <w:lvlJc w:val="left"/>
      <w:pPr>
        <w:ind w:left="3524" w:hanging="360"/>
      </w:pPr>
    </w:lvl>
    <w:lvl w:ilvl="5">
      <w:start w:val="1"/>
      <w:numFmt w:val="decimal"/>
      <w:lvlText w:val="%6."/>
      <w:lvlJc w:val="left"/>
      <w:pPr>
        <w:ind w:left="4244" w:hanging="360"/>
      </w:pPr>
    </w:lvl>
    <w:lvl w:ilvl="6">
      <w:start w:val="1"/>
      <w:numFmt w:val="decimal"/>
      <w:lvlText w:val="%7."/>
      <w:lvlJc w:val="left"/>
      <w:pPr>
        <w:ind w:left="4964" w:hanging="360"/>
      </w:pPr>
    </w:lvl>
    <w:lvl w:ilvl="7">
      <w:start w:val="1"/>
      <w:numFmt w:val="decimal"/>
      <w:lvlText w:val="%8."/>
      <w:lvlJc w:val="left"/>
      <w:pPr>
        <w:ind w:left="5684" w:hanging="360"/>
      </w:pPr>
    </w:lvl>
    <w:lvl w:ilvl="8">
      <w:start w:val="1"/>
      <w:numFmt w:val="decimal"/>
      <w:lvlText w:val="%9."/>
      <w:lvlJc w:val="left"/>
      <w:pPr>
        <w:ind w:left="6404" w:hanging="360"/>
      </w:pPr>
    </w:lvl>
  </w:abstractNum>
  <w:num w:numId="1" w16cid:durableId="1593390242">
    <w:abstractNumId w:val="0"/>
  </w:num>
  <w:num w:numId="2" w16cid:durableId="6157181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1952"/>
    <w:rsid w:val="00151952"/>
    <w:rsid w:val="00315314"/>
    <w:rsid w:val="005B688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1155F"/>
  <w15:docId w15:val="{79214EF6-F162-4DAF-BB7E-4ECC3D7C9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uk" w:eastAsia="uk-U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character" w:styleId="a4">
    <w:name w:val="Hyperlink"/>
    <w:basedOn w:val="a0"/>
    <w:uiPriority w:val="99"/>
    <w:unhideWhenUsed/>
    <w:rsid w:val="00C773F4"/>
    <w:rPr>
      <w:color w:val="0000FF" w:themeColor="hyperlink"/>
      <w:u w:val="single"/>
    </w:rPr>
  </w:style>
  <w:style w:type="paragraph" w:styleId="a5">
    <w:name w:val="Balloon Text"/>
    <w:link w:val="a6"/>
    <w:uiPriority w:val="99"/>
    <w:semiHidden/>
    <w:unhideWhenUsed/>
    <w:rsid w:val="006A5026"/>
    <w:pPr>
      <w:spacing w:after="0" w:line="240" w:lineRule="auto"/>
    </w:pPr>
    <w:rPr>
      <w:rFonts w:ascii="Tahoma" w:hAnsi="Tahoma" w:cs="Tahoma"/>
      <w:sz w:val="16"/>
      <w:szCs w:val="16"/>
    </w:rPr>
  </w:style>
  <w:style w:type="character" w:customStyle="1" w:styleId="a6">
    <w:name w:val="Текст у виносці Знак"/>
    <w:basedOn w:val="a0"/>
    <w:link w:val="a5"/>
    <w:uiPriority w:val="99"/>
    <w:semiHidden/>
    <w:rsid w:val="006A5026"/>
    <w:rPr>
      <w:rFonts w:ascii="Tahoma" w:eastAsia="Calibri" w:hAnsi="Tahoma" w:cs="Tahoma"/>
      <w:sz w:val="16"/>
      <w:szCs w:val="16"/>
    </w:rPr>
  </w:style>
  <w:style w:type="paragraph" w:styleId="a7">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8">
    <w:basedOn w:val="TableNormal"/>
    <w:tblPr>
      <w:tblStyleRowBandSize w:val="1"/>
      <w:tblStyleColBandSize w:val="1"/>
      <w:tblCellMar>
        <w:top w:w="0" w:type="dxa"/>
        <w:left w:w="115" w:type="dxa"/>
        <w:bottom w:w="0" w:type="dxa"/>
        <w:right w:w="115"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cademia.edu/40009330/ORAL_PATHOLOGY_AND_ORAL_MEDICIN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3JLvR/nz29M7YY3xa7Ke6cKGRAw==">CgMxLjAyDmgub3hxdXhsNWN4ZDhlOAByITF0Y3oxOENJeEFDZUdmTk5DVmw4SGQtR0NCUHdxQkJ3ZQ==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15399</Words>
  <Characters>8778</Characters>
  <Application>Microsoft Office Word</Application>
  <DocSecurity>0</DocSecurity>
  <Lines>73</Lines>
  <Paragraphs>48</Paragraphs>
  <ScaleCrop>false</ScaleCrop>
  <Company/>
  <LinksUpToDate>false</LinksUpToDate>
  <CharactersWithSpaces>24129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mulen77</dc:creator>
  <cp:lastModifiedBy>mulen</cp:lastModifiedBy>
  <cp:revision>2</cp:revision>
  <dcterms:created xsi:type="dcterms:W3CDTF">2025-09-25T12:14:00Z</dcterms:created>
  <dcterms:modified xsi:type="dcterms:W3CDTF">2025-09-25T12:14:00Z</dcterms:modified>
</cp:coreProperties>
</file>